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8D4" w:rsidRPr="00637656" w:rsidRDefault="003B078B" w:rsidP="007E51F9">
      <w:pPr>
        <w:jc w:val="center"/>
        <w:rPr>
          <w:rFonts w:cs="Times New Roman"/>
          <w:b/>
          <w:smallCaps/>
          <w:u w:val="single"/>
        </w:rPr>
      </w:pPr>
      <w:bookmarkStart w:id="0" w:name="_GoBack"/>
      <w:bookmarkEnd w:id="0"/>
      <w:r w:rsidRPr="00637656">
        <w:rPr>
          <w:rFonts w:cs="Times New Roman"/>
          <w:noProof/>
        </w:rPr>
        <w:drawing>
          <wp:anchor distT="0" distB="0" distL="114300" distR="114300" simplePos="0" relativeHeight="251659264" behindDoc="0" locked="0" layoutInCell="1" allowOverlap="1">
            <wp:simplePos x="0" y="0"/>
            <wp:positionH relativeFrom="column">
              <wp:posOffset>1752600</wp:posOffset>
            </wp:positionH>
            <wp:positionV relativeFrom="page">
              <wp:posOffset>457200</wp:posOffset>
            </wp:positionV>
            <wp:extent cx="2219325" cy="647700"/>
            <wp:effectExtent l="0" t="0" r="0" b="12700"/>
            <wp:wrapNone/>
            <wp:docPr id="1" name="Picture 5" descr="C:\Users\Elizabeth.Overton\AppData\Local\Microsoft\Windows\Temporary Internet Files\Content.Word\PPSV Logo-280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lizabeth.Overton\AppData\Local\Microsoft\Windows\Temporary Internet Files\Content.Word\PPSV Logo-280C.JPG"/>
                    <pic:cNvPicPr>
                      <a:picLocks noChangeAspect="1" noChangeArrowheads="1"/>
                    </pic:cNvPicPr>
                  </pic:nvPicPr>
                  <pic:blipFill>
                    <a:blip r:embed="rId8"/>
                    <a:srcRect/>
                    <a:stretch>
                      <a:fillRect/>
                    </a:stretch>
                  </pic:blipFill>
                  <pic:spPr bwMode="auto">
                    <a:xfrm>
                      <a:off x="0" y="0"/>
                      <a:ext cx="2219325" cy="647700"/>
                    </a:xfrm>
                    <a:prstGeom prst="rect">
                      <a:avLst/>
                    </a:prstGeom>
                    <a:noFill/>
                    <a:ln w="9525">
                      <a:noFill/>
                      <a:miter lim="800000"/>
                      <a:headEnd/>
                      <a:tailEnd/>
                    </a:ln>
                  </pic:spPr>
                </pic:pic>
              </a:graphicData>
            </a:graphic>
          </wp:anchor>
        </w:drawing>
      </w:r>
      <w:r w:rsidR="00C82A67" w:rsidRPr="00637656">
        <w:rPr>
          <w:rFonts w:cs="Times New Roman"/>
          <w:b/>
        </w:rPr>
        <w:br/>
      </w:r>
      <w:r w:rsidR="00D745C4" w:rsidRPr="00637656">
        <w:rPr>
          <w:rFonts w:cs="Times New Roman"/>
          <w:b/>
          <w:smallCaps/>
        </w:rPr>
        <w:br/>
      </w:r>
    </w:p>
    <w:p w:rsidR="008F2B44" w:rsidRPr="00FA35CB" w:rsidRDefault="008F2B44" w:rsidP="008F2B44">
      <w:pPr>
        <w:jc w:val="center"/>
        <w:rPr>
          <w:rFonts w:cs="Times New Roman"/>
          <w:b/>
          <w:smallCaps/>
          <w:sz w:val="28"/>
          <w:szCs w:val="28"/>
          <w:u w:val="single"/>
        </w:rPr>
      </w:pPr>
      <w:r w:rsidRPr="00FA35CB">
        <w:rPr>
          <w:rFonts w:cs="Times New Roman"/>
          <w:b/>
          <w:smallCaps/>
          <w:sz w:val="28"/>
          <w:szCs w:val="28"/>
          <w:u w:val="single"/>
        </w:rPr>
        <w:t>OCTOBER 1, 2013: Health Insurance Exchanges Open</w:t>
      </w:r>
    </w:p>
    <w:p w:rsidR="008F2B44" w:rsidRPr="00637656" w:rsidRDefault="008F2B44" w:rsidP="008F2B44">
      <w:pPr>
        <w:jc w:val="center"/>
        <w:rPr>
          <w:rFonts w:cs="Times New Roman"/>
          <w:b/>
          <w:smallCaps/>
        </w:rPr>
      </w:pPr>
    </w:p>
    <w:p w:rsidR="008F2B44" w:rsidRPr="000676DC" w:rsidRDefault="00EE6FF2" w:rsidP="008F2B44">
      <w:pPr>
        <w:rPr>
          <w:rFonts w:cs="Times New Roman"/>
          <w:b/>
          <w:u w:val="single"/>
        </w:rPr>
      </w:pPr>
      <w:r>
        <w:rPr>
          <w:rFonts w:cs="Times New Roman"/>
          <w:b/>
          <w:u w:val="single"/>
        </w:rPr>
        <w:t xml:space="preserve">ACA </w:t>
      </w:r>
      <w:r w:rsidR="008F2B44" w:rsidRPr="00637656">
        <w:rPr>
          <w:rFonts w:cs="Times New Roman"/>
          <w:b/>
          <w:u w:val="single"/>
        </w:rPr>
        <w:t>Overview</w:t>
      </w:r>
      <w:r>
        <w:rPr>
          <w:rFonts w:cs="Times New Roman"/>
          <w:b/>
          <w:u w:val="single"/>
        </w:rPr>
        <w:t xml:space="preserve"> and Refresher</w:t>
      </w:r>
    </w:p>
    <w:p w:rsidR="008F2B44" w:rsidRPr="00637656" w:rsidRDefault="008F2B44" w:rsidP="008F2B44">
      <w:pPr>
        <w:rPr>
          <w:rFonts w:cs="Times New Roman"/>
        </w:rPr>
      </w:pPr>
    </w:p>
    <w:p w:rsidR="008F2B44" w:rsidRPr="00637656" w:rsidRDefault="008F2B44" w:rsidP="008F2B44">
      <w:pPr>
        <w:rPr>
          <w:rFonts w:cs="Times New Roman"/>
        </w:rPr>
      </w:pPr>
      <w:r>
        <w:rPr>
          <w:rFonts w:cs="Times New Roman"/>
        </w:rPr>
        <w:t>The key provisions of the Affordable Care Act (“ACA”) are slated to go into effect</w:t>
      </w:r>
      <w:r w:rsidRPr="00637656">
        <w:rPr>
          <w:rFonts w:cs="Times New Roman"/>
        </w:rPr>
        <w:t xml:space="preserve"> this week. </w:t>
      </w:r>
      <w:r>
        <w:rPr>
          <w:rFonts w:cs="Times New Roman"/>
        </w:rPr>
        <w:t xml:space="preserve"> </w:t>
      </w:r>
      <w:r w:rsidRPr="00637656">
        <w:rPr>
          <w:rFonts w:cs="Times New Roman"/>
        </w:rPr>
        <w:t xml:space="preserve">On Tuesday, October 1, states and the </w:t>
      </w:r>
      <w:r>
        <w:rPr>
          <w:rFonts w:cs="Times New Roman"/>
        </w:rPr>
        <w:t xml:space="preserve">U.S. </w:t>
      </w:r>
      <w:r w:rsidRPr="00637656">
        <w:rPr>
          <w:rFonts w:cs="Times New Roman"/>
        </w:rPr>
        <w:t>Department of Health and Human Services (</w:t>
      </w:r>
      <w:r>
        <w:rPr>
          <w:rFonts w:cs="Times New Roman"/>
        </w:rPr>
        <w:t>“</w:t>
      </w:r>
      <w:r w:rsidRPr="00637656">
        <w:rPr>
          <w:rFonts w:cs="Times New Roman"/>
        </w:rPr>
        <w:t>HHS</w:t>
      </w:r>
      <w:r>
        <w:rPr>
          <w:rFonts w:cs="Times New Roman"/>
        </w:rPr>
        <w:t>”</w:t>
      </w:r>
      <w:r w:rsidRPr="00637656">
        <w:rPr>
          <w:rFonts w:cs="Times New Roman"/>
        </w:rPr>
        <w:t>) will open their Health Insur</w:t>
      </w:r>
      <w:r>
        <w:rPr>
          <w:rFonts w:cs="Times New Roman"/>
        </w:rPr>
        <w:t>ance Exchanges, otherwise known as</w:t>
      </w:r>
      <w:r w:rsidRPr="00637656">
        <w:rPr>
          <w:rFonts w:cs="Times New Roman"/>
        </w:rPr>
        <w:t xml:space="preserve"> “Marketplaces.” </w:t>
      </w:r>
      <w:r>
        <w:rPr>
          <w:rFonts w:cs="Times New Roman"/>
        </w:rPr>
        <w:t xml:space="preserve"> </w:t>
      </w:r>
      <w:r w:rsidRPr="00637656">
        <w:rPr>
          <w:rFonts w:cs="Times New Roman"/>
        </w:rPr>
        <w:t>The Marketplaces wi</w:t>
      </w:r>
      <w:r>
        <w:rPr>
          <w:rFonts w:cs="Times New Roman"/>
        </w:rPr>
        <w:t>ll exist online</w:t>
      </w:r>
      <w:r w:rsidRPr="00637656">
        <w:rPr>
          <w:rFonts w:cs="Times New Roman"/>
        </w:rPr>
        <w:t xml:space="preserve"> and</w:t>
      </w:r>
      <w:r>
        <w:rPr>
          <w:rFonts w:cs="Times New Roman"/>
        </w:rPr>
        <w:t>,</w:t>
      </w:r>
      <w:r w:rsidRPr="00637656">
        <w:rPr>
          <w:rFonts w:cs="Times New Roman"/>
        </w:rPr>
        <w:t xml:space="preserve"> if</w:t>
      </w:r>
      <w:r>
        <w:rPr>
          <w:rFonts w:cs="Times New Roman"/>
        </w:rPr>
        <w:t xml:space="preserve"> they</w:t>
      </w:r>
      <w:r w:rsidRPr="00637656">
        <w:rPr>
          <w:rFonts w:cs="Times New Roman"/>
        </w:rPr>
        <w:t xml:space="preserve"> operate as intended, provide a central site at which individuals and small groups will be able to compare and purchase health insurance plans. </w:t>
      </w:r>
      <w:r>
        <w:rPr>
          <w:rFonts w:cs="Times New Roman"/>
        </w:rPr>
        <w:t xml:space="preserve"> As of this writing, however, the Maryland and DC state Exchanges are not fully operational, and many applicants have not been able to open an account on the federally-facilitated Exchange.</w:t>
      </w:r>
    </w:p>
    <w:p w:rsidR="008F2B44" w:rsidRPr="00637656" w:rsidRDefault="008F2B44" w:rsidP="008F2B44">
      <w:pPr>
        <w:rPr>
          <w:rFonts w:cs="Times New Roman"/>
        </w:rPr>
      </w:pPr>
    </w:p>
    <w:p w:rsidR="008F2B44" w:rsidRPr="00637656" w:rsidRDefault="008F2B44" w:rsidP="008F2B44">
      <w:pPr>
        <w:rPr>
          <w:rFonts w:cs="Times New Roman"/>
        </w:rPr>
      </w:pPr>
      <w:r w:rsidRPr="00637656">
        <w:rPr>
          <w:rFonts w:cs="Times New Roman"/>
        </w:rPr>
        <w:t xml:space="preserve">The Exchanges are at the center of the structural overhaul of the health insurance market. </w:t>
      </w:r>
      <w:r>
        <w:rPr>
          <w:rFonts w:cs="Times New Roman"/>
        </w:rPr>
        <w:t xml:space="preserve"> </w:t>
      </w:r>
      <w:r w:rsidRPr="00637656">
        <w:rPr>
          <w:rFonts w:cs="Times New Roman"/>
        </w:rPr>
        <w:t>Issuers can reach c</w:t>
      </w:r>
      <w:r>
        <w:rPr>
          <w:rFonts w:cs="Times New Roman"/>
        </w:rPr>
        <w:t>onsumers at these one-stop Marketplaces</w:t>
      </w:r>
      <w:r w:rsidRPr="00637656">
        <w:rPr>
          <w:rFonts w:cs="Times New Roman"/>
        </w:rPr>
        <w:t xml:space="preserve"> and offer a</w:t>
      </w:r>
      <w:r>
        <w:rPr>
          <w:rFonts w:cs="Times New Roman"/>
        </w:rPr>
        <w:t xml:space="preserve"> range of plans covering an essential health </w:t>
      </w:r>
      <w:r w:rsidRPr="00637656">
        <w:rPr>
          <w:rFonts w:cs="Times New Roman"/>
        </w:rPr>
        <w:t xml:space="preserve">benefits package at different value tiers. </w:t>
      </w:r>
      <w:r>
        <w:rPr>
          <w:rFonts w:cs="Times New Roman"/>
        </w:rPr>
        <w:t xml:space="preserve"> </w:t>
      </w:r>
      <w:r w:rsidRPr="00637656">
        <w:rPr>
          <w:rFonts w:cs="Times New Roman"/>
        </w:rPr>
        <w:t xml:space="preserve">These Marketplaces provide a competitive, structured venue for insurance transactions that, if </w:t>
      </w:r>
      <w:r>
        <w:rPr>
          <w:rFonts w:cs="Times New Roman"/>
        </w:rPr>
        <w:t>they prove</w:t>
      </w:r>
      <w:r w:rsidRPr="00637656">
        <w:rPr>
          <w:rFonts w:cs="Times New Roman"/>
        </w:rPr>
        <w:t xml:space="preserve"> popular and efficient, could result in a dramatic evolution in how Americans access health insurance coverage. </w:t>
      </w:r>
    </w:p>
    <w:p w:rsidR="008F2B44" w:rsidRPr="00637656" w:rsidRDefault="008F2B44" w:rsidP="008F2B44">
      <w:pPr>
        <w:rPr>
          <w:rFonts w:cs="Times New Roman"/>
        </w:rPr>
      </w:pPr>
    </w:p>
    <w:p w:rsidR="008F2B44" w:rsidRPr="00637656" w:rsidRDefault="008F2B44" w:rsidP="008F2B44">
      <w:pPr>
        <w:rPr>
          <w:rFonts w:cs="Times New Roman"/>
        </w:rPr>
      </w:pPr>
      <w:r w:rsidRPr="00637656">
        <w:rPr>
          <w:rFonts w:cs="Times New Roman"/>
        </w:rPr>
        <w:t xml:space="preserve">However, the technical expertise required to run a Marketplace online is proving </w:t>
      </w:r>
      <w:r>
        <w:rPr>
          <w:rFonts w:cs="Times New Roman"/>
        </w:rPr>
        <w:t xml:space="preserve">very </w:t>
      </w:r>
      <w:r w:rsidRPr="00637656">
        <w:rPr>
          <w:rFonts w:cs="Times New Roman"/>
        </w:rPr>
        <w:t xml:space="preserve">challenging for many states and HHS. </w:t>
      </w:r>
      <w:r>
        <w:rPr>
          <w:rFonts w:cs="Times New Roman"/>
        </w:rPr>
        <w:t xml:space="preserve"> </w:t>
      </w:r>
      <w:r w:rsidRPr="00637656">
        <w:rPr>
          <w:rFonts w:cs="Times New Roman"/>
        </w:rPr>
        <w:t xml:space="preserve">Over 30 states have elected or defaulted to a federally-run or </w:t>
      </w:r>
      <w:r>
        <w:rPr>
          <w:rFonts w:cs="Times New Roman"/>
        </w:rPr>
        <w:t>“</w:t>
      </w:r>
      <w:r w:rsidRPr="00637656">
        <w:rPr>
          <w:rFonts w:cs="Times New Roman"/>
        </w:rPr>
        <w:t>partnership</w:t>
      </w:r>
      <w:r>
        <w:rPr>
          <w:rFonts w:cs="Times New Roman"/>
        </w:rPr>
        <w:t>”</w:t>
      </w:r>
      <w:r w:rsidRPr="00637656">
        <w:rPr>
          <w:rFonts w:cs="Times New Roman"/>
        </w:rPr>
        <w:t xml:space="preserve"> E</w:t>
      </w:r>
      <w:r>
        <w:rPr>
          <w:rFonts w:cs="Times New Roman"/>
        </w:rPr>
        <w:t xml:space="preserve">xchange </w:t>
      </w:r>
      <w:r w:rsidRPr="00637656">
        <w:rPr>
          <w:rFonts w:cs="Times New Roman"/>
        </w:rPr>
        <w:t>in which HHS will have significant operational and legal responsibility over the state activity</w:t>
      </w:r>
      <w:r>
        <w:rPr>
          <w:rFonts w:cs="Times New Roman"/>
        </w:rPr>
        <w:t xml:space="preserve">.  </w:t>
      </w:r>
      <w:r w:rsidRPr="00637656">
        <w:rPr>
          <w:rFonts w:cs="Times New Roman"/>
        </w:rPr>
        <w:t>Only 18 states will run their own Exchange in 2014.</w:t>
      </w:r>
      <w:r>
        <w:rPr>
          <w:rFonts w:cs="Times New Roman"/>
        </w:rPr>
        <w:t xml:space="preserve">  In the first hours of their debut on October 1, both HHS and state Exchanges experienced significant technical difficulties, rendering the Exchanges at least temporarily inaccessible.</w:t>
      </w:r>
      <w:r w:rsidRPr="00637656">
        <w:rPr>
          <w:rFonts w:cs="Times New Roman"/>
        </w:rPr>
        <w:t xml:space="preserve">  </w:t>
      </w:r>
      <w:r>
        <w:rPr>
          <w:rFonts w:cs="Times New Roman"/>
        </w:rPr>
        <w:t xml:space="preserve">This experience was not unexpected with the implementation of a federal/state program as massive as the ACA.  </w:t>
      </w:r>
      <w:r w:rsidRPr="00637656">
        <w:rPr>
          <w:rFonts w:cs="Times New Roman"/>
        </w:rPr>
        <w:t>HHS has delayed the online opening of the federal Exchange for small groups, which is now slated to open online on November 1.</w:t>
      </w:r>
      <w:r>
        <w:rPr>
          <w:rFonts w:cs="Times New Roman"/>
        </w:rPr>
        <w:t xml:space="preserve">  However, by the end of the first day of open enrollment, HHS had recorded over 2.8 million visits to the ACA website. </w:t>
      </w:r>
    </w:p>
    <w:p w:rsidR="008F2B44" w:rsidRPr="00637656" w:rsidRDefault="008F2B44" w:rsidP="008F2B44">
      <w:pPr>
        <w:rPr>
          <w:rFonts w:cs="Times New Roman"/>
        </w:rPr>
      </w:pPr>
    </w:p>
    <w:p w:rsidR="008F2B44" w:rsidRPr="00637656" w:rsidRDefault="008F2B44" w:rsidP="008F2B44">
      <w:pPr>
        <w:rPr>
          <w:rFonts w:cs="Times New Roman"/>
        </w:rPr>
      </w:pPr>
      <w:r w:rsidRPr="00637656">
        <w:rPr>
          <w:rFonts w:cs="Times New Roman"/>
        </w:rPr>
        <w:t>In addition, the ACA has become no less politicall</w:t>
      </w:r>
      <w:r>
        <w:rPr>
          <w:rFonts w:cs="Times New Roman"/>
        </w:rPr>
        <w:t>y polarizing since it was enacted</w:t>
      </w:r>
      <w:r w:rsidRPr="00637656">
        <w:rPr>
          <w:rFonts w:cs="Times New Roman"/>
        </w:rPr>
        <w:t xml:space="preserve"> in March of 2010, and many state leaders are reticent</w:t>
      </w:r>
      <w:r>
        <w:rPr>
          <w:rFonts w:cs="Times New Roman"/>
        </w:rPr>
        <w:t xml:space="preserve"> to</w:t>
      </w:r>
      <w:r w:rsidRPr="00637656">
        <w:rPr>
          <w:rFonts w:cs="Times New Roman"/>
        </w:rPr>
        <w:t xml:space="preserve"> embrace the reforms.  Indeed, politics over health care reform continues to occupy the attention of conservatives at the national level, and</w:t>
      </w:r>
      <w:r>
        <w:rPr>
          <w:rFonts w:cs="Times New Roman"/>
        </w:rPr>
        <w:t xml:space="preserve"> on October 1, </w:t>
      </w:r>
      <w:r w:rsidRPr="00637656">
        <w:rPr>
          <w:rFonts w:cs="Times New Roman"/>
        </w:rPr>
        <w:t xml:space="preserve">Congress </w:t>
      </w:r>
      <w:r>
        <w:rPr>
          <w:rFonts w:cs="Times New Roman"/>
        </w:rPr>
        <w:t xml:space="preserve">allowed </w:t>
      </w:r>
      <w:r w:rsidRPr="00637656">
        <w:rPr>
          <w:rFonts w:cs="Times New Roman"/>
        </w:rPr>
        <w:t xml:space="preserve">the </w:t>
      </w:r>
      <w:r>
        <w:rPr>
          <w:rFonts w:cs="Times New Roman"/>
        </w:rPr>
        <w:t xml:space="preserve">federal </w:t>
      </w:r>
      <w:r w:rsidRPr="00637656">
        <w:rPr>
          <w:rFonts w:cs="Times New Roman"/>
        </w:rPr>
        <w:t xml:space="preserve">government </w:t>
      </w:r>
      <w:r>
        <w:rPr>
          <w:rFonts w:cs="Times New Roman"/>
        </w:rPr>
        <w:t xml:space="preserve">to </w:t>
      </w:r>
      <w:r w:rsidRPr="00637656">
        <w:rPr>
          <w:rFonts w:cs="Times New Roman"/>
        </w:rPr>
        <w:t xml:space="preserve">shut down over disagreements on whether the ACA should </w:t>
      </w:r>
      <w:r>
        <w:rPr>
          <w:rFonts w:cs="Times New Roman"/>
        </w:rPr>
        <w:t xml:space="preserve">continue to </w:t>
      </w:r>
      <w:r w:rsidRPr="00637656">
        <w:rPr>
          <w:rFonts w:cs="Times New Roman"/>
        </w:rPr>
        <w:t xml:space="preserve">be implemented. </w:t>
      </w:r>
    </w:p>
    <w:p w:rsidR="008F2B44" w:rsidRPr="00637656" w:rsidRDefault="008F2B44" w:rsidP="008F2B44">
      <w:pPr>
        <w:rPr>
          <w:rFonts w:cs="Times New Roman"/>
        </w:rPr>
      </w:pPr>
    </w:p>
    <w:p w:rsidR="008F2B44" w:rsidRDefault="008F2B44" w:rsidP="008F2B44">
      <w:pPr>
        <w:rPr>
          <w:rFonts w:cs="Times New Roman"/>
        </w:rPr>
      </w:pPr>
      <w:r>
        <w:rPr>
          <w:rFonts w:cs="Times New Roman"/>
        </w:rPr>
        <w:t>C</w:t>
      </w:r>
      <w:r w:rsidRPr="00637656">
        <w:rPr>
          <w:rFonts w:cs="Times New Roman"/>
        </w:rPr>
        <w:t>overage purchased on the Exchange</w:t>
      </w:r>
      <w:r>
        <w:rPr>
          <w:rFonts w:cs="Times New Roman"/>
        </w:rPr>
        <w:t xml:space="preserve"> by </w:t>
      </w:r>
      <w:r w:rsidRPr="00637656">
        <w:rPr>
          <w:rFonts w:cs="Times New Roman"/>
        </w:rPr>
        <w:t>individuals and small groups before December 15</w:t>
      </w:r>
      <w:r>
        <w:rPr>
          <w:rFonts w:cs="Times New Roman"/>
        </w:rPr>
        <w:t xml:space="preserve"> </w:t>
      </w:r>
      <w:r w:rsidRPr="00637656">
        <w:rPr>
          <w:rFonts w:cs="Times New Roman"/>
        </w:rPr>
        <w:t xml:space="preserve">will </w:t>
      </w:r>
      <w:r>
        <w:rPr>
          <w:rFonts w:cs="Times New Roman"/>
        </w:rPr>
        <w:t xml:space="preserve">become effective on January 1, 2014.  This is the effective date of the individual mandate, the ACA requirement that every individual obtain health insurance coverage or pay a fine for not doing so.  </w:t>
      </w:r>
      <w:r w:rsidRPr="00637656">
        <w:rPr>
          <w:rFonts w:cs="Times New Roman"/>
        </w:rPr>
        <w:t xml:space="preserve">The initial enrollment period </w:t>
      </w:r>
      <w:r>
        <w:rPr>
          <w:rFonts w:cs="Times New Roman"/>
        </w:rPr>
        <w:t xml:space="preserve">for private coverage </w:t>
      </w:r>
      <w:r w:rsidRPr="00637656">
        <w:rPr>
          <w:rFonts w:cs="Times New Roman"/>
        </w:rPr>
        <w:t>will occur from October 1 thr</w:t>
      </w:r>
      <w:r>
        <w:rPr>
          <w:rFonts w:cs="Times New Roman"/>
        </w:rPr>
        <w:t xml:space="preserve">ough March 30, 2014.  After the </w:t>
      </w:r>
      <w:r w:rsidRPr="00637656">
        <w:rPr>
          <w:rFonts w:cs="Times New Roman"/>
        </w:rPr>
        <w:t xml:space="preserve">initial enrollment period, individual plans will have annual enrollment periods. </w:t>
      </w:r>
      <w:r>
        <w:rPr>
          <w:rFonts w:cs="Times New Roman"/>
        </w:rPr>
        <w:t xml:space="preserve"> </w:t>
      </w:r>
      <w:r w:rsidRPr="00637656">
        <w:rPr>
          <w:rFonts w:cs="Times New Roman"/>
        </w:rPr>
        <w:t xml:space="preserve">Small employer exchanges </w:t>
      </w:r>
      <w:r>
        <w:rPr>
          <w:rFonts w:cs="Times New Roman"/>
        </w:rPr>
        <w:t xml:space="preserve">(commonly known as “SHOP” Exchanges) </w:t>
      </w:r>
      <w:r w:rsidRPr="00637656">
        <w:rPr>
          <w:rFonts w:cs="Times New Roman"/>
        </w:rPr>
        <w:t xml:space="preserve">will </w:t>
      </w:r>
      <w:r>
        <w:rPr>
          <w:rFonts w:cs="Times New Roman"/>
        </w:rPr>
        <w:t>have ongoing enrollment periods.  For those states that choose to expand their Medicaid programs, enrollees will be able to access Medicaid through ongoing enrollment periods.</w:t>
      </w:r>
    </w:p>
    <w:p w:rsidR="008F2B44" w:rsidRDefault="008F2B44" w:rsidP="008F2B44">
      <w:pPr>
        <w:rPr>
          <w:rFonts w:cs="Times New Roman"/>
        </w:rPr>
      </w:pPr>
    </w:p>
    <w:p w:rsidR="008F2B44" w:rsidRDefault="008F2B44" w:rsidP="008F2B44">
      <w:pPr>
        <w:rPr>
          <w:rFonts w:cs="Times New Roman"/>
        </w:rPr>
      </w:pPr>
      <w:r>
        <w:rPr>
          <w:rFonts w:cs="Times New Roman"/>
        </w:rPr>
        <w:t>Beginning in 2015, the employer “mandate” takes effect.  This means that any employer with more than 50 full-time equivalent employees will be fined if it fails to offer affordable coverage to employees who then go to an Exchange and receive a federal subsidy to purchase individual coverage.  This employer penalty is known as the employer mandate although employers are not technically mandated to provide health insurance coverage.</w:t>
      </w:r>
    </w:p>
    <w:p w:rsidR="008F2B44" w:rsidRPr="00FD24BA" w:rsidRDefault="008F2B44" w:rsidP="008F2B44">
      <w:pPr>
        <w:rPr>
          <w:rFonts w:cs="Times New Roman"/>
        </w:rPr>
      </w:pPr>
      <w:r>
        <w:rPr>
          <w:rFonts w:cs="Times New Roman"/>
        </w:rPr>
        <w:t xml:space="preserve">    </w:t>
      </w:r>
    </w:p>
    <w:p w:rsidR="008F2B44" w:rsidRDefault="008F2B44" w:rsidP="008F2B44">
      <w:pPr>
        <w:rPr>
          <w:rFonts w:cs="Times New Roman"/>
        </w:rPr>
      </w:pPr>
      <w:r w:rsidRPr="00637656">
        <w:rPr>
          <w:rFonts w:cs="Times New Roman"/>
        </w:rPr>
        <w:t>The next fe</w:t>
      </w:r>
      <w:r>
        <w:rPr>
          <w:rFonts w:cs="Times New Roman"/>
        </w:rPr>
        <w:t>w months will determine whether</w:t>
      </w:r>
      <w:r w:rsidRPr="00637656">
        <w:rPr>
          <w:rFonts w:cs="Times New Roman"/>
        </w:rPr>
        <w:t xml:space="preserve"> the Exchanges take hold and provide a sustainable, and trusted venue for Americans</w:t>
      </w:r>
      <w:r>
        <w:rPr>
          <w:rFonts w:cs="Times New Roman"/>
        </w:rPr>
        <w:t xml:space="preserve"> and small </w:t>
      </w:r>
      <w:r w:rsidRPr="00637656">
        <w:rPr>
          <w:rFonts w:cs="Times New Roman"/>
        </w:rPr>
        <w:t xml:space="preserve">businesses </w:t>
      </w:r>
      <w:r>
        <w:rPr>
          <w:rFonts w:cs="Times New Roman"/>
        </w:rPr>
        <w:t>to purchase—</w:t>
      </w:r>
      <w:r w:rsidRPr="00637656">
        <w:rPr>
          <w:rFonts w:cs="Times New Roman"/>
        </w:rPr>
        <w:t>and insurance</w:t>
      </w:r>
      <w:r>
        <w:rPr>
          <w:rFonts w:cs="Times New Roman"/>
        </w:rPr>
        <w:t xml:space="preserve"> companies to sell—</w:t>
      </w:r>
      <w:r w:rsidRPr="00637656">
        <w:rPr>
          <w:rFonts w:cs="Times New Roman"/>
        </w:rPr>
        <w:t xml:space="preserve">health insurance. </w:t>
      </w:r>
      <w:r>
        <w:rPr>
          <w:rFonts w:cs="Times New Roman"/>
        </w:rPr>
        <w:t xml:space="preserve"> </w:t>
      </w:r>
      <w:r w:rsidRPr="00637656">
        <w:rPr>
          <w:rFonts w:cs="Times New Roman"/>
        </w:rPr>
        <w:t>Whether individuals who are currently uninsured, including young, healthy adults will use the Exchanges; whether small employers will use the Exchanges; whether large employers will stop offering insurance and instead expect employees to purchase insurance through the Exchanges; whether more states w</w:t>
      </w:r>
      <w:r w:rsidR="008D05E6">
        <w:rPr>
          <w:rFonts w:cs="Times New Roman"/>
        </w:rPr>
        <w:t>ill expand Medicaid next year—</w:t>
      </w:r>
      <w:r w:rsidRPr="00637656">
        <w:rPr>
          <w:rFonts w:cs="Times New Roman"/>
        </w:rPr>
        <w:t>all of these variables will have an impact on the success of the new Marketplaces.</w:t>
      </w:r>
    </w:p>
    <w:p w:rsidR="000676DC" w:rsidRDefault="000676DC" w:rsidP="009E7203">
      <w:pPr>
        <w:rPr>
          <w:rFonts w:cs="Times New Roman"/>
        </w:rPr>
      </w:pPr>
    </w:p>
    <w:p w:rsidR="000676DC" w:rsidRDefault="000676DC" w:rsidP="000676DC">
      <w:pPr>
        <w:rPr>
          <w:rFonts w:cs="Times New Roman"/>
        </w:rPr>
      </w:pPr>
      <w:r w:rsidRPr="00955A6E">
        <w:rPr>
          <w:rFonts w:cs="Times New Roman"/>
          <w:u w:val="single"/>
        </w:rPr>
        <w:t>Provisions of the ACA in effect prior to October 1</w:t>
      </w:r>
      <w:r>
        <w:rPr>
          <w:rFonts w:cs="Times New Roman"/>
        </w:rPr>
        <w:t>:</w:t>
      </w:r>
    </w:p>
    <w:p w:rsidR="000676DC" w:rsidRDefault="000676DC" w:rsidP="000676DC">
      <w:pPr>
        <w:rPr>
          <w:rFonts w:cs="Times New Roman"/>
        </w:rPr>
      </w:pPr>
    </w:p>
    <w:p w:rsidR="000676DC" w:rsidRPr="000676DC" w:rsidRDefault="000676DC" w:rsidP="000676DC">
      <w:pPr>
        <w:pStyle w:val="ListParagraph"/>
        <w:numPr>
          <w:ilvl w:val="0"/>
          <w:numId w:val="4"/>
        </w:numPr>
        <w:rPr>
          <w:rFonts w:cs="Times New Roman"/>
        </w:rPr>
      </w:pPr>
      <w:r>
        <w:rPr>
          <w:rFonts w:cs="Times New Roman"/>
        </w:rPr>
        <w:t>Prohibition on pre-existing condition denials for children under 19 years of age</w:t>
      </w:r>
    </w:p>
    <w:p w:rsidR="000676DC" w:rsidRDefault="000676DC" w:rsidP="000676DC">
      <w:pPr>
        <w:pStyle w:val="ListParagraph"/>
        <w:numPr>
          <w:ilvl w:val="0"/>
          <w:numId w:val="4"/>
        </w:numPr>
        <w:rPr>
          <w:rFonts w:cs="Times New Roman"/>
        </w:rPr>
      </w:pPr>
      <w:r>
        <w:rPr>
          <w:rFonts w:cs="Times New Roman"/>
        </w:rPr>
        <w:t>Young adults can choose to stay on parents’ insurance plans up to age 26</w:t>
      </w:r>
    </w:p>
    <w:p w:rsidR="008F2B44" w:rsidRDefault="008F2B44" w:rsidP="008F2B44">
      <w:pPr>
        <w:pStyle w:val="ListParagraph"/>
        <w:numPr>
          <w:ilvl w:val="0"/>
          <w:numId w:val="4"/>
        </w:numPr>
        <w:rPr>
          <w:rFonts w:cs="Times New Roman"/>
        </w:rPr>
      </w:pPr>
      <w:r>
        <w:rPr>
          <w:rFonts w:cs="Times New Roman"/>
        </w:rPr>
        <w:t>Health insurance plans are prohibited from placing lifetime monetary caps on essential health benefits (105 million Americans have had life time caps on health insurance eliminated by this provision)</w:t>
      </w:r>
    </w:p>
    <w:p w:rsidR="008F2B44" w:rsidRDefault="008F2B44" w:rsidP="008F2B44">
      <w:pPr>
        <w:pStyle w:val="ListParagraph"/>
        <w:numPr>
          <w:ilvl w:val="0"/>
          <w:numId w:val="4"/>
        </w:numPr>
        <w:rPr>
          <w:rFonts w:cs="Times New Roman"/>
        </w:rPr>
      </w:pPr>
      <w:r>
        <w:rPr>
          <w:rFonts w:cs="Times New Roman"/>
        </w:rPr>
        <w:t>Annual caps in benefits are being phased out</w:t>
      </w:r>
    </w:p>
    <w:p w:rsidR="008F2B44" w:rsidRDefault="008F2B44" w:rsidP="008F2B44">
      <w:pPr>
        <w:pStyle w:val="ListParagraph"/>
        <w:numPr>
          <w:ilvl w:val="0"/>
          <w:numId w:val="4"/>
        </w:numPr>
        <w:rPr>
          <w:rFonts w:cs="Times New Roman"/>
        </w:rPr>
      </w:pPr>
      <w:r>
        <w:rPr>
          <w:rFonts w:cs="Times New Roman"/>
        </w:rPr>
        <w:t>Consumers receive premium rebates if their insurer fails to spend 80% of premium revenue on health care (more than $1.3 billion in rebates either were paid in 2012 or will be paid in 2013 under this provision)</w:t>
      </w:r>
    </w:p>
    <w:p w:rsidR="008F2B44" w:rsidRPr="008F2B44" w:rsidRDefault="00A732AF" w:rsidP="008F2B44">
      <w:pPr>
        <w:pStyle w:val="ListParagraph"/>
        <w:numPr>
          <w:ilvl w:val="0"/>
          <w:numId w:val="4"/>
        </w:numPr>
        <w:rPr>
          <w:rFonts w:cs="Times New Roman"/>
        </w:rPr>
      </w:pPr>
      <w:r>
        <w:rPr>
          <w:rFonts w:cs="Times New Roman"/>
        </w:rPr>
        <w:t>Private health insurance plans cover preventive care with no cost-sharing for the participant</w:t>
      </w:r>
      <w:r w:rsidR="000676DC">
        <w:rPr>
          <w:rFonts w:cs="Times New Roman"/>
        </w:rPr>
        <w:t xml:space="preserve"> </w:t>
      </w:r>
    </w:p>
    <w:p w:rsidR="008F2B44" w:rsidRDefault="008F2B44" w:rsidP="008F2B44">
      <w:pPr>
        <w:pStyle w:val="ListParagraph"/>
        <w:numPr>
          <w:ilvl w:val="0"/>
          <w:numId w:val="4"/>
        </w:numPr>
        <w:rPr>
          <w:rFonts w:cs="Times New Roman"/>
        </w:rPr>
      </w:pPr>
      <w:r>
        <w:rPr>
          <w:rFonts w:cs="Times New Roman"/>
        </w:rPr>
        <w:t>Seniors covered by Medicare receive a $250 rebate to reduce the prescription drug “donut hole” or coverage gap</w:t>
      </w:r>
    </w:p>
    <w:p w:rsidR="008F2B44" w:rsidRPr="00D40D8B" w:rsidRDefault="008F2B44" w:rsidP="008F2B44">
      <w:pPr>
        <w:pStyle w:val="ListParagraph"/>
        <w:numPr>
          <w:ilvl w:val="0"/>
          <w:numId w:val="4"/>
        </w:numPr>
        <w:rPr>
          <w:rFonts w:cs="Times New Roman"/>
        </w:rPr>
      </w:pPr>
      <w:r>
        <w:rPr>
          <w:rFonts w:cs="Times New Roman"/>
        </w:rPr>
        <w:t xml:space="preserve">Small businesses (fewer than 25 employees) receive a tax credit of up to 35% of the employer’s contribution to the employees’ health insurance  </w:t>
      </w:r>
    </w:p>
    <w:p w:rsidR="000676DC" w:rsidRDefault="000676DC" w:rsidP="000676DC">
      <w:pPr>
        <w:rPr>
          <w:rFonts w:cs="Times New Roman"/>
        </w:rPr>
      </w:pPr>
    </w:p>
    <w:p w:rsidR="008F2B44" w:rsidRDefault="009D6B82" w:rsidP="000676DC">
      <w:pPr>
        <w:rPr>
          <w:rFonts w:cs="Times New Roman"/>
          <w:u w:val="single"/>
        </w:rPr>
      </w:pPr>
      <w:r w:rsidRPr="00955A6E">
        <w:rPr>
          <w:rFonts w:cs="Times New Roman"/>
          <w:u w:val="single"/>
        </w:rPr>
        <w:t xml:space="preserve">Provisions of the ACA </w:t>
      </w:r>
      <w:r w:rsidR="008F2B44">
        <w:rPr>
          <w:rFonts w:cs="Times New Roman"/>
          <w:u w:val="single"/>
        </w:rPr>
        <w:t>that take effect on October 1 (for plans effective January 1, 2014):</w:t>
      </w:r>
    </w:p>
    <w:p w:rsidR="008F2B44" w:rsidRDefault="008F2B44" w:rsidP="000676DC">
      <w:pPr>
        <w:rPr>
          <w:rFonts w:cs="Times New Roman"/>
          <w:u w:val="single"/>
        </w:rPr>
      </w:pPr>
    </w:p>
    <w:p w:rsidR="00E23FED" w:rsidRDefault="00E23FED" w:rsidP="008F2B44">
      <w:pPr>
        <w:pStyle w:val="ListParagraph"/>
        <w:numPr>
          <w:ilvl w:val="0"/>
          <w:numId w:val="6"/>
        </w:numPr>
        <w:rPr>
          <w:rFonts w:cs="Times New Roman"/>
        </w:rPr>
      </w:pPr>
      <w:r>
        <w:rPr>
          <w:rFonts w:cs="Times New Roman"/>
        </w:rPr>
        <w:t xml:space="preserve">Pre-existing condition exclusions are prohibited </w:t>
      </w:r>
    </w:p>
    <w:p w:rsidR="008F2B44" w:rsidRDefault="008F2B44" w:rsidP="008F2B44">
      <w:pPr>
        <w:pStyle w:val="ListParagraph"/>
        <w:numPr>
          <w:ilvl w:val="0"/>
          <w:numId w:val="6"/>
        </w:numPr>
        <w:rPr>
          <w:rFonts w:cs="Times New Roman"/>
        </w:rPr>
      </w:pPr>
      <w:r>
        <w:rPr>
          <w:rFonts w:cs="Times New Roman"/>
        </w:rPr>
        <w:t>Health insurance plans cannot set premiums based on health status</w:t>
      </w:r>
    </w:p>
    <w:p w:rsidR="008F2B44" w:rsidRDefault="008F2B44" w:rsidP="008F2B44">
      <w:pPr>
        <w:pStyle w:val="ListParagraph"/>
        <w:numPr>
          <w:ilvl w:val="0"/>
          <w:numId w:val="6"/>
        </w:numPr>
        <w:rPr>
          <w:rFonts w:cs="Times New Roman"/>
        </w:rPr>
      </w:pPr>
      <w:r>
        <w:rPr>
          <w:rFonts w:cs="Times New Roman"/>
        </w:rPr>
        <w:t>Health insurance plans must guarantee issue of health insurance coverage</w:t>
      </w:r>
    </w:p>
    <w:p w:rsidR="008F2B44" w:rsidRPr="008F2B44" w:rsidRDefault="008F2B44" w:rsidP="008F2B44">
      <w:pPr>
        <w:pStyle w:val="ListParagraph"/>
        <w:numPr>
          <w:ilvl w:val="0"/>
          <w:numId w:val="6"/>
        </w:numPr>
        <w:rPr>
          <w:rFonts w:cs="Times New Roman"/>
        </w:rPr>
      </w:pPr>
      <w:r>
        <w:rPr>
          <w:rFonts w:cs="Times New Roman"/>
        </w:rPr>
        <w:t>Health insurance plans cannot rescind coverage for reasons other than non-payment of premiums</w:t>
      </w:r>
    </w:p>
    <w:p w:rsidR="008F2B44" w:rsidRPr="00E23FED" w:rsidRDefault="00E23FED" w:rsidP="008F2B44">
      <w:pPr>
        <w:pStyle w:val="ListParagraph"/>
        <w:numPr>
          <w:ilvl w:val="0"/>
          <w:numId w:val="6"/>
        </w:numPr>
        <w:rPr>
          <w:rFonts w:cs="Times New Roman"/>
          <w:u w:val="single"/>
        </w:rPr>
      </w:pPr>
      <w:r>
        <w:rPr>
          <w:rFonts w:cs="Times New Roman"/>
        </w:rPr>
        <w:t>Annual caps in benefits are completely prohibited (phase out is complete)</w:t>
      </w:r>
    </w:p>
    <w:p w:rsidR="008F2B44" w:rsidRDefault="008F2B44" w:rsidP="000676DC">
      <w:pPr>
        <w:rPr>
          <w:rFonts w:cs="Times New Roman"/>
          <w:u w:val="single"/>
        </w:rPr>
      </w:pPr>
    </w:p>
    <w:p w:rsidR="009D6B82" w:rsidRDefault="008F2B44" w:rsidP="000676DC">
      <w:pPr>
        <w:rPr>
          <w:rFonts w:cs="Times New Roman"/>
        </w:rPr>
      </w:pPr>
      <w:r>
        <w:rPr>
          <w:rFonts w:cs="Times New Roman"/>
          <w:u w:val="single"/>
        </w:rPr>
        <w:t xml:space="preserve">Provisions of the ACA that are </w:t>
      </w:r>
      <w:r w:rsidR="009D6B82" w:rsidRPr="00955A6E">
        <w:rPr>
          <w:rFonts w:cs="Times New Roman"/>
          <w:u w:val="single"/>
        </w:rPr>
        <w:t>delayed until after the January 1, 2014 start date for market reforms</w:t>
      </w:r>
      <w:r w:rsidR="009D6B82">
        <w:rPr>
          <w:rFonts w:cs="Times New Roman"/>
        </w:rPr>
        <w:t>:</w:t>
      </w:r>
    </w:p>
    <w:p w:rsidR="009D6B82" w:rsidRDefault="009D6B82" w:rsidP="000676DC">
      <w:pPr>
        <w:rPr>
          <w:rFonts w:cs="Times New Roman"/>
        </w:rPr>
      </w:pPr>
    </w:p>
    <w:p w:rsidR="000676DC" w:rsidRDefault="009D6B82" w:rsidP="000676DC">
      <w:pPr>
        <w:pStyle w:val="ListParagraph"/>
        <w:numPr>
          <w:ilvl w:val="0"/>
          <w:numId w:val="5"/>
        </w:numPr>
        <w:rPr>
          <w:rFonts w:cs="Times New Roman"/>
        </w:rPr>
      </w:pPr>
      <w:r>
        <w:rPr>
          <w:rFonts w:cs="Times New Roman"/>
        </w:rPr>
        <w:t>Fines delayed</w:t>
      </w:r>
      <w:r w:rsidR="00E23FED">
        <w:rPr>
          <w:rFonts w:cs="Times New Roman"/>
        </w:rPr>
        <w:t xml:space="preserve"> until 2015 for large employers </w:t>
      </w:r>
      <w:r>
        <w:rPr>
          <w:rFonts w:cs="Times New Roman"/>
        </w:rPr>
        <w:t>who fail to offer affordable health insurance coverage to employees who receive a</w:t>
      </w:r>
      <w:r w:rsidR="00E23FED">
        <w:rPr>
          <w:rFonts w:cs="Times New Roman"/>
        </w:rPr>
        <w:t xml:space="preserve"> federal</w:t>
      </w:r>
      <w:r>
        <w:rPr>
          <w:rFonts w:cs="Times New Roman"/>
        </w:rPr>
        <w:t xml:space="preserve"> subsidy </w:t>
      </w:r>
      <w:r w:rsidR="00E23FED">
        <w:rPr>
          <w:rFonts w:cs="Times New Roman"/>
        </w:rPr>
        <w:t>to purchase coverage on an E</w:t>
      </w:r>
      <w:r>
        <w:rPr>
          <w:rFonts w:cs="Times New Roman"/>
        </w:rPr>
        <w:t xml:space="preserve">xchange </w:t>
      </w:r>
    </w:p>
    <w:p w:rsidR="000676DC" w:rsidRDefault="009D6B82" w:rsidP="000676DC">
      <w:pPr>
        <w:pStyle w:val="ListParagraph"/>
        <w:numPr>
          <w:ilvl w:val="0"/>
          <w:numId w:val="5"/>
        </w:numPr>
        <w:rPr>
          <w:rFonts w:cs="Times New Roman"/>
        </w:rPr>
      </w:pPr>
      <w:r>
        <w:rPr>
          <w:rFonts w:cs="Times New Roman"/>
        </w:rPr>
        <w:t xml:space="preserve">Small employer choice to offer a range of plans to employees delayed </w:t>
      </w:r>
      <w:r w:rsidR="00D228EE">
        <w:rPr>
          <w:rFonts w:cs="Times New Roman"/>
        </w:rPr>
        <w:t xml:space="preserve">until 2015 </w:t>
      </w:r>
      <w:r>
        <w:rPr>
          <w:rFonts w:cs="Times New Roman"/>
        </w:rPr>
        <w:t xml:space="preserve">on the </w:t>
      </w:r>
      <w:r w:rsidR="00E23FED">
        <w:rPr>
          <w:rFonts w:cs="Times New Roman"/>
        </w:rPr>
        <w:t>federally-facilitated exchange (“</w:t>
      </w:r>
      <w:r>
        <w:rPr>
          <w:rFonts w:cs="Times New Roman"/>
        </w:rPr>
        <w:t>FFE</w:t>
      </w:r>
      <w:r w:rsidR="00E23FED">
        <w:rPr>
          <w:rFonts w:cs="Times New Roman"/>
        </w:rPr>
        <w:t>”)</w:t>
      </w:r>
      <w:r>
        <w:rPr>
          <w:rFonts w:cs="Times New Roman"/>
        </w:rPr>
        <w:t xml:space="preserve"> and for some state Exchanges</w:t>
      </w:r>
    </w:p>
    <w:p w:rsidR="00E23FED" w:rsidRPr="00E23FED" w:rsidRDefault="000676DC" w:rsidP="006D2D22">
      <w:pPr>
        <w:pStyle w:val="ListParagraph"/>
        <w:numPr>
          <w:ilvl w:val="0"/>
          <w:numId w:val="5"/>
        </w:numPr>
        <w:rPr>
          <w:rFonts w:cs="Times New Roman"/>
          <w:b/>
          <w:u w:val="single"/>
        </w:rPr>
      </w:pPr>
      <w:r>
        <w:rPr>
          <w:rFonts w:cs="Times New Roman"/>
        </w:rPr>
        <w:t>Nationwide Medicaid expansion</w:t>
      </w:r>
      <w:r w:rsidR="00610FB2">
        <w:rPr>
          <w:rFonts w:cs="Times New Roman"/>
        </w:rPr>
        <w:t xml:space="preserve"> as written into the ACA </w:t>
      </w:r>
      <w:r>
        <w:rPr>
          <w:rFonts w:cs="Times New Roman"/>
        </w:rPr>
        <w:t xml:space="preserve">delayed </w:t>
      </w:r>
      <w:r w:rsidR="00610FB2">
        <w:rPr>
          <w:rFonts w:cs="Times New Roman"/>
        </w:rPr>
        <w:t xml:space="preserve">indefinitely </w:t>
      </w:r>
      <w:r>
        <w:rPr>
          <w:rFonts w:cs="Times New Roman"/>
        </w:rPr>
        <w:t>by the Supreme Court’s decision to make expansio</w:t>
      </w:r>
      <w:r w:rsidR="00E23FED">
        <w:rPr>
          <w:rFonts w:cs="Times New Roman"/>
        </w:rPr>
        <w:t xml:space="preserve">n a choice by </w:t>
      </w:r>
      <w:r w:rsidR="007571D5">
        <w:rPr>
          <w:rFonts w:cs="Times New Roman"/>
        </w:rPr>
        <w:t>individual states, so that almost half of the states will not expand Medicaid as of January 1, 2014</w:t>
      </w:r>
      <w:r w:rsidR="00493AD4">
        <w:rPr>
          <w:rFonts w:cs="Times New Roman"/>
        </w:rPr>
        <w:t>.</w:t>
      </w:r>
    </w:p>
    <w:p w:rsidR="006D2D22" w:rsidRPr="006D2D22" w:rsidRDefault="006D2D22" w:rsidP="00E23FED">
      <w:pPr>
        <w:pStyle w:val="ListParagraph"/>
        <w:rPr>
          <w:rFonts w:cs="Times New Roman"/>
          <w:b/>
          <w:u w:val="single"/>
        </w:rPr>
      </w:pPr>
      <w:r w:rsidRPr="006D2D22">
        <w:rPr>
          <w:rFonts w:cs="Times New Roman"/>
        </w:rPr>
        <w:br/>
      </w:r>
    </w:p>
    <w:tbl>
      <w:tblPr>
        <w:tblW w:w="0" w:type="auto"/>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4560"/>
        <w:gridCol w:w="4560"/>
      </w:tblGrid>
      <w:tr w:rsidR="006D2D22" w:rsidRPr="00637656" w:rsidTr="00DD380A">
        <w:trPr>
          <w:trHeight w:val="275"/>
        </w:trPr>
        <w:tc>
          <w:tcPr>
            <w:tcW w:w="4560" w:type="dxa"/>
            <w:tcBorders>
              <w:top w:val="outset" w:sz="6" w:space="0" w:color="auto"/>
              <w:left w:val="outset" w:sz="6" w:space="0" w:color="auto"/>
              <w:bottom w:val="outset" w:sz="6" w:space="0" w:color="auto"/>
              <w:right w:val="outset" w:sz="6" w:space="0" w:color="auto"/>
            </w:tcBorders>
            <w:shd w:val="clear" w:color="auto" w:fill="C0C0C0"/>
            <w:hideMark/>
          </w:tcPr>
          <w:p w:rsidR="006D2D22" w:rsidRPr="00637656" w:rsidRDefault="006D2D22" w:rsidP="00DD380A">
            <w:pPr>
              <w:spacing w:before="100" w:beforeAutospacing="1" w:after="100" w:afterAutospacing="1"/>
              <w:jc w:val="center"/>
              <w:rPr>
                <w:rFonts w:eastAsia="Times New Roman" w:cs="Times New Roman"/>
                <w:szCs w:val="24"/>
              </w:rPr>
            </w:pPr>
            <w:r w:rsidRPr="00637656">
              <w:rPr>
                <w:rFonts w:eastAsia="Times New Roman" w:cs="Times New Roman"/>
                <w:b/>
                <w:bCs/>
                <w:szCs w:val="24"/>
              </w:rPr>
              <w:t>Application submission date</w:t>
            </w:r>
          </w:p>
        </w:tc>
        <w:tc>
          <w:tcPr>
            <w:tcW w:w="4560" w:type="dxa"/>
            <w:tcBorders>
              <w:top w:val="outset" w:sz="6" w:space="0" w:color="auto"/>
              <w:left w:val="outset" w:sz="6" w:space="0" w:color="auto"/>
              <w:bottom w:val="outset" w:sz="6" w:space="0" w:color="auto"/>
              <w:right w:val="outset" w:sz="6" w:space="0" w:color="auto"/>
            </w:tcBorders>
            <w:shd w:val="clear" w:color="auto" w:fill="C0C0C0"/>
            <w:hideMark/>
          </w:tcPr>
          <w:p w:rsidR="006D2D22" w:rsidRPr="00637656" w:rsidRDefault="006D2D22" w:rsidP="00DD380A">
            <w:pPr>
              <w:spacing w:before="100" w:beforeAutospacing="1" w:after="100" w:afterAutospacing="1"/>
              <w:jc w:val="center"/>
              <w:rPr>
                <w:rFonts w:eastAsia="Times New Roman" w:cs="Times New Roman"/>
                <w:szCs w:val="24"/>
              </w:rPr>
            </w:pPr>
            <w:r w:rsidRPr="00637656">
              <w:rPr>
                <w:rFonts w:eastAsia="Times New Roman" w:cs="Times New Roman"/>
                <w:b/>
                <w:bCs/>
                <w:szCs w:val="24"/>
              </w:rPr>
              <w:t>Guaranteed effective date of coverage</w:t>
            </w:r>
          </w:p>
        </w:tc>
      </w:tr>
      <w:tr w:rsidR="006D2D22" w:rsidRPr="00637656" w:rsidTr="00DD380A">
        <w:trPr>
          <w:trHeight w:val="261"/>
        </w:trPr>
        <w:tc>
          <w:tcPr>
            <w:tcW w:w="4560" w:type="dxa"/>
            <w:tcBorders>
              <w:top w:val="outset" w:sz="6" w:space="0" w:color="auto"/>
              <w:left w:val="outset" w:sz="6" w:space="0" w:color="auto"/>
              <w:bottom w:val="outset" w:sz="6" w:space="0" w:color="auto"/>
              <w:right w:val="outset" w:sz="6" w:space="0" w:color="auto"/>
            </w:tcBorders>
            <w:hideMark/>
          </w:tcPr>
          <w:p w:rsidR="006D2D22" w:rsidRPr="00637656" w:rsidRDefault="006D2D22" w:rsidP="00DD380A">
            <w:pPr>
              <w:spacing w:before="100" w:beforeAutospacing="1" w:after="100" w:afterAutospacing="1"/>
              <w:jc w:val="center"/>
              <w:rPr>
                <w:rFonts w:eastAsia="Times New Roman" w:cs="Times New Roman"/>
                <w:szCs w:val="24"/>
              </w:rPr>
            </w:pPr>
            <w:r w:rsidRPr="00637656">
              <w:rPr>
                <w:rFonts w:eastAsia="Times New Roman" w:cs="Times New Roman"/>
                <w:szCs w:val="24"/>
              </w:rPr>
              <w:t>October 1 through December 15, 2013</w:t>
            </w:r>
          </w:p>
        </w:tc>
        <w:tc>
          <w:tcPr>
            <w:tcW w:w="4560" w:type="dxa"/>
            <w:tcBorders>
              <w:top w:val="outset" w:sz="6" w:space="0" w:color="auto"/>
              <w:left w:val="outset" w:sz="6" w:space="0" w:color="auto"/>
              <w:bottom w:val="outset" w:sz="6" w:space="0" w:color="auto"/>
              <w:right w:val="outset" w:sz="6" w:space="0" w:color="auto"/>
            </w:tcBorders>
            <w:hideMark/>
          </w:tcPr>
          <w:p w:rsidR="006D2D22" w:rsidRPr="00637656" w:rsidRDefault="006D2D22" w:rsidP="00DD380A">
            <w:pPr>
              <w:spacing w:before="100" w:beforeAutospacing="1" w:after="100" w:afterAutospacing="1"/>
              <w:jc w:val="center"/>
              <w:rPr>
                <w:rFonts w:eastAsia="Times New Roman" w:cs="Times New Roman"/>
                <w:szCs w:val="24"/>
              </w:rPr>
            </w:pPr>
            <w:r w:rsidRPr="00637656">
              <w:rPr>
                <w:rFonts w:eastAsia="Times New Roman" w:cs="Times New Roman"/>
                <w:szCs w:val="24"/>
              </w:rPr>
              <w:t>January 1, 2014</w:t>
            </w:r>
          </w:p>
        </w:tc>
      </w:tr>
      <w:tr w:rsidR="006D2D22" w:rsidRPr="00637656" w:rsidTr="00DD380A">
        <w:trPr>
          <w:trHeight w:val="275"/>
        </w:trPr>
        <w:tc>
          <w:tcPr>
            <w:tcW w:w="4560" w:type="dxa"/>
            <w:tcBorders>
              <w:top w:val="outset" w:sz="6" w:space="0" w:color="auto"/>
              <w:left w:val="outset" w:sz="6" w:space="0" w:color="auto"/>
              <w:bottom w:val="outset" w:sz="6" w:space="0" w:color="auto"/>
              <w:right w:val="outset" w:sz="6" w:space="0" w:color="auto"/>
            </w:tcBorders>
            <w:hideMark/>
          </w:tcPr>
          <w:p w:rsidR="006D2D22" w:rsidRPr="00637656" w:rsidRDefault="006D2D22" w:rsidP="00DD380A">
            <w:pPr>
              <w:spacing w:before="100" w:beforeAutospacing="1" w:after="100" w:afterAutospacing="1"/>
              <w:jc w:val="center"/>
              <w:rPr>
                <w:rFonts w:eastAsia="Times New Roman" w:cs="Times New Roman"/>
                <w:szCs w:val="24"/>
              </w:rPr>
            </w:pPr>
            <w:r w:rsidRPr="00637656">
              <w:rPr>
                <w:rFonts w:eastAsia="Times New Roman" w:cs="Times New Roman"/>
                <w:szCs w:val="24"/>
              </w:rPr>
              <w:t>December 16 through January 15, 2014</w:t>
            </w:r>
          </w:p>
        </w:tc>
        <w:tc>
          <w:tcPr>
            <w:tcW w:w="4560" w:type="dxa"/>
            <w:tcBorders>
              <w:top w:val="outset" w:sz="6" w:space="0" w:color="auto"/>
              <w:left w:val="outset" w:sz="6" w:space="0" w:color="auto"/>
              <w:bottom w:val="outset" w:sz="6" w:space="0" w:color="auto"/>
              <w:right w:val="outset" w:sz="6" w:space="0" w:color="auto"/>
            </w:tcBorders>
            <w:hideMark/>
          </w:tcPr>
          <w:p w:rsidR="006D2D22" w:rsidRPr="00637656" w:rsidRDefault="006D2D22" w:rsidP="00DD380A">
            <w:pPr>
              <w:spacing w:before="100" w:beforeAutospacing="1" w:after="100" w:afterAutospacing="1"/>
              <w:jc w:val="center"/>
              <w:rPr>
                <w:rFonts w:eastAsia="Times New Roman" w:cs="Times New Roman"/>
                <w:szCs w:val="24"/>
              </w:rPr>
            </w:pPr>
            <w:r w:rsidRPr="00637656">
              <w:rPr>
                <w:rFonts w:eastAsia="Times New Roman" w:cs="Times New Roman"/>
                <w:szCs w:val="24"/>
              </w:rPr>
              <w:t>February 1, 2014</w:t>
            </w:r>
          </w:p>
        </w:tc>
      </w:tr>
      <w:tr w:rsidR="006D2D22" w:rsidRPr="00637656" w:rsidTr="00DD380A">
        <w:trPr>
          <w:trHeight w:val="261"/>
        </w:trPr>
        <w:tc>
          <w:tcPr>
            <w:tcW w:w="4560" w:type="dxa"/>
            <w:tcBorders>
              <w:top w:val="outset" w:sz="6" w:space="0" w:color="auto"/>
              <w:left w:val="outset" w:sz="6" w:space="0" w:color="auto"/>
              <w:bottom w:val="outset" w:sz="6" w:space="0" w:color="auto"/>
              <w:right w:val="outset" w:sz="6" w:space="0" w:color="auto"/>
            </w:tcBorders>
            <w:hideMark/>
          </w:tcPr>
          <w:p w:rsidR="006D2D22" w:rsidRPr="00637656" w:rsidRDefault="006D2D22" w:rsidP="00DD380A">
            <w:pPr>
              <w:spacing w:before="100" w:beforeAutospacing="1" w:after="100" w:afterAutospacing="1"/>
              <w:jc w:val="center"/>
              <w:rPr>
                <w:rFonts w:eastAsia="Times New Roman" w:cs="Times New Roman"/>
                <w:szCs w:val="24"/>
              </w:rPr>
            </w:pPr>
            <w:r w:rsidRPr="00637656">
              <w:rPr>
                <w:rFonts w:eastAsia="Times New Roman" w:cs="Times New Roman"/>
                <w:szCs w:val="24"/>
              </w:rPr>
              <w:t>January 16 through February 15, 2014</w:t>
            </w:r>
          </w:p>
        </w:tc>
        <w:tc>
          <w:tcPr>
            <w:tcW w:w="4560" w:type="dxa"/>
            <w:tcBorders>
              <w:top w:val="outset" w:sz="6" w:space="0" w:color="auto"/>
              <w:left w:val="outset" w:sz="6" w:space="0" w:color="auto"/>
              <w:bottom w:val="outset" w:sz="6" w:space="0" w:color="auto"/>
              <w:right w:val="outset" w:sz="6" w:space="0" w:color="auto"/>
            </w:tcBorders>
            <w:hideMark/>
          </w:tcPr>
          <w:p w:rsidR="006D2D22" w:rsidRPr="00637656" w:rsidRDefault="006D2D22" w:rsidP="00DD380A">
            <w:pPr>
              <w:spacing w:before="100" w:beforeAutospacing="1" w:after="100" w:afterAutospacing="1"/>
              <w:jc w:val="center"/>
              <w:rPr>
                <w:rFonts w:eastAsia="Times New Roman" w:cs="Times New Roman"/>
                <w:szCs w:val="24"/>
              </w:rPr>
            </w:pPr>
            <w:r w:rsidRPr="00637656">
              <w:rPr>
                <w:rFonts w:eastAsia="Times New Roman" w:cs="Times New Roman"/>
                <w:szCs w:val="24"/>
              </w:rPr>
              <w:t>March 1, 2014</w:t>
            </w:r>
          </w:p>
        </w:tc>
      </w:tr>
      <w:tr w:rsidR="006D2D22" w:rsidRPr="00637656" w:rsidTr="00DD380A">
        <w:trPr>
          <w:trHeight w:val="261"/>
        </w:trPr>
        <w:tc>
          <w:tcPr>
            <w:tcW w:w="4560" w:type="dxa"/>
            <w:tcBorders>
              <w:top w:val="outset" w:sz="6" w:space="0" w:color="auto"/>
              <w:left w:val="outset" w:sz="6" w:space="0" w:color="auto"/>
              <w:bottom w:val="outset" w:sz="6" w:space="0" w:color="auto"/>
              <w:right w:val="outset" w:sz="6" w:space="0" w:color="auto"/>
            </w:tcBorders>
            <w:hideMark/>
          </w:tcPr>
          <w:p w:rsidR="006D2D22" w:rsidRPr="00637656" w:rsidRDefault="006D2D22" w:rsidP="00DD380A">
            <w:pPr>
              <w:spacing w:before="100" w:beforeAutospacing="1" w:after="100" w:afterAutospacing="1"/>
              <w:jc w:val="center"/>
              <w:rPr>
                <w:rFonts w:eastAsia="Times New Roman" w:cs="Times New Roman"/>
                <w:szCs w:val="24"/>
              </w:rPr>
            </w:pPr>
            <w:r w:rsidRPr="00637656">
              <w:rPr>
                <w:rFonts w:eastAsia="Times New Roman" w:cs="Times New Roman"/>
                <w:szCs w:val="24"/>
              </w:rPr>
              <w:t>February 16 through March 15, 2014</w:t>
            </w:r>
          </w:p>
        </w:tc>
        <w:tc>
          <w:tcPr>
            <w:tcW w:w="4560" w:type="dxa"/>
            <w:tcBorders>
              <w:top w:val="outset" w:sz="6" w:space="0" w:color="auto"/>
              <w:left w:val="outset" w:sz="6" w:space="0" w:color="auto"/>
              <w:bottom w:val="outset" w:sz="6" w:space="0" w:color="auto"/>
              <w:right w:val="outset" w:sz="6" w:space="0" w:color="auto"/>
            </w:tcBorders>
            <w:hideMark/>
          </w:tcPr>
          <w:p w:rsidR="006D2D22" w:rsidRPr="00637656" w:rsidRDefault="006D2D22" w:rsidP="00DD380A">
            <w:pPr>
              <w:spacing w:before="100" w:beforeAutospacing="1" w:after="100" w:afterAutospacing="1"/>
              <w:jc w:val="center"/>
              <w:rPr>
                <w:rFonts w:eastAsia="Times New Roman" w:cs="Times New Roman"/>
                <w:szCs w:val="24"/>
              </w:rPr>
            </w:pPr>
            <w:r w:rsidRPr="00637656">
              <w:rPr>
                <w:rFonts w:eastAsia="Times New Roman" w:cs="Times New Roman"/>
                <w:szCs w:val="24"/>
              </w:rPr>
              <w:t>April 1, 2014</w:t>
            </w:r>
          </w:p>
        </w:tc>
      </w:tr>
      <w:tr w:rsidR="006D2D22" w:rsidRPr="00637656" w:rsidTr="00DD380A">
        <w:trPr>
          <w:trHeight w:val="275"/>
        </w:trPr>
        <w:tc>
          <w:tcPr>
            <w:tcW w:w="4560" w:type="dxa"/>
            <w:tcBorders>
              <w:top w:val="outset" w:sz="6" w:space="0" w:color="auto"/>
              <w:left w:val="outset" w:sz="6" w:space="0" w:color="auto"/>
              <w:bottom w:val="outset" w:sz="6" w:space="0" w:color="auto"/>
              <w:right w:val="outset" w:sz="6" w:space="0" w:color="auto"/>
            </w:tcBorders>
            <w:hideMark/>
          </w:tcPr>
          <w:p w:rsidR="006D2D22" w:rsidRPr="00637656" w:rsidRDefault="006D2D22" w:rsidP="00DD380A">
            <w:pPr>
              <w:spacing w:before="100" w:beforeAutospacing="1" w:after="100" w:afterAutospacing="1"/>
              <w:jc w:val="center"/>
              <w:rPr>
                <w:rFonts w:eastAsia="Times New Roman" w:cs="Times New Roman"/>
                <w:szCs w:val="24"/>
              </w:rPr>
            </w:pPr>
            <w:r w:rsidRPr="00637656">
              <w:rPr>
                <w:rFonts w:eastAsia="Times New Roman" w:cs="Times New Roman"/>
                <w:szCs w:val="24"/>
              </w:rPr>
              <w:t>March 15 through March 31, 2014</w:t>
            </w:r>
          </w:p>
        </w:tc>
        <w:tc>
          <w:tcPr>
            <w:tcW w:w="4560" w:type="dxa"/>
            <w:tcBorders>
              <w:top w:val="outset" w:sz="6" w:space="0" w:color="auto"/>
              <w:left w:val="outset" w:sz="6" w:space="0" w:color="auto"/>
              <w:bottom w:val="outset" w:sz="6" w:space="0" w:color="auto"/>
              <w:right w:val="outset" w:sz="6" w:space="0" w:color="auto"/>
            </w:tcBorders>
            <w:hideMark/>
          </w:tcPr>
          <w:p w:rsidR="006D2D22" w:rsidRPr="00637656" w:rsidRDefault="006D2D22" w:rsidP="00DD380A">
            <w:pPr>
              <w:spacing w:before="100" w:beforeAutospacing="1" w:after="100" w:afterAutospacing="1"/>
              <w:jc w:val="center"/>
              <w:rPr>
                <w:rFonts w:eastAsia="Times New Roman" w:cs="Times New Roman"/>
                <w:szCs w:val="24"/>
              </w:rPr>
            </w:pPr>
            <w:r w:rsidRPr="00637656">
              <w:rPr>
                <w:rFonts w:eastAsia="Times New Roman" w:cs="Times New Roman"/>
                <w:szCs w:val="24"/>
              </w:rPr>
              <w:t>May 1, 2014</w:t>
            </w:r>
          </w:p>
        </w:tc>
      </w:tr>
    </w:tbl>
    <w:p w:rsidR="006D2D22" w:rsidRPr="006D2D22" w:rsidRDefault="00F96945" w:rsidP="006D2D22">
      <w:pPr>
        <w:rPr>
          <w:rFonts w:cs="Times New Roman"/>
          <w:b/>
          <w:u w:val="single"/>
        </w:rPr>
      </w:pPr>
      <w:r>
        <w:rPr>
          <w:rFonts w:cs="Times New Roman"/>
          <w:b/>
          <w:u w:val="single"/>
        </w:rPr>
        <w:br/>
      </w:r>
      <w:r w:rsidR="006D2D22" w:rsidRPr="006D2D22">
        <w:rPr>
          <w:rFonts w:cs="Times New Roman"/>
          <w:b/>
          <w:u w:val="single"/>
        </w:rPr>
        <w:t xml:space="preserve"> </w:t>
      </w:r>
    </w:p>
    <w:p w:rsidR="00FB00E7" w:rsidRPr="00563731" w:rsidRDefault="00FB00E7" w:rsidP="009E7203">
      <w:pPr>
        <w:rPr>
          <w:rFonts w:cs="Times New Roman"/>
          <w:sz w:val="20"/>
          <w:szCs w:val="20"/>
        </w:rPr>
      </w:pPr>
      <w:r w:rsidRPr="00637656">
        <w:rPr>
          <w:rFonts w:cs="Times New Roman"/>
          <w:b/>
          <w:u w:val="single"/>
        </w:rPr>
        <w:t xml:space="preserve">Purchasing Health Insurance </w:t>
      </w:r>
      <w:r w:rsidR="000044D6" w:rsidRPr="00637656">
        <w:rPr>
          <w:rFonts w:cs="Times New Roman"/>
          <w:b/>
          <w:u w:val="single"/>
        </w:rPr>
        <w:t>on</w:t>
      </w:r>
      <w:r w:rsidRPr="00637656">
        <w:rPr>
          <w:rFonts w:cs="Times New Roman"/>
          <w:b/>
          <w:u w:val="single"/>
        </w:rPr>
        <w:t xml:space="preserve"> Exchanges</w:t>
      </w:r>
    </w:p>
    <w:p w:rsidR="00FB00E7" w:rsidRPr="00637656" w:rsidRDefault="00FB00E7" w:rsidP="009E7203">
      <w:pPr>
        <w:rPr>
          <w:rFonts w:cs="Times New Roman"/>
        </w:rPr>
      </w:pPr>
    </w:p>
    <w:p w:rsidR="00DD380A" w:rsidRDefault="005E1ED8" w:rsidP="009E7203">
      <w:pPr>
        <w:rPr>
          <w:rFonts w:cs="Times New Roman"/>
        </w:rPr>
      </w:pPr>
      <w:r w:rsidRPr="00637656">
        <w:rPr>
          <w:rFonts w:cs="Times New Roman"/>
        </w:rPr>
        <w:t>All legal constituents of a state can utilize the</w:t>
      </w:r>
      <w:r w:rsidR="00130261" w:rsidRPr="00637656">
        <w:rPr>
          <w:rFonts w:cs="Times New Roman"/>
        </w:rPr>
        <w:t>ir</w:t>
      </w:r>
      <w:r w:rsidR="00DD380A">
        <w:rPr>
          <w:rFonts w:cs="Times New Roman"/>
        </w:rPr>
        <w:t xml:space="preserve"> M</w:t>
      </w:r>
      <w:r w:rsidRPr="00637656">
        <w:rPr>
          <w:rFonts w:cs="Times New Roman"/>
        </w:rPr>
        <w:t xml:space="preserve">arketplace, even if they currently have insurance. </w:t>
      </w:r>
      <w:r w:rsidR="00130261" w:rsidRPr="00637656">
        <w:rPr>
          <w:rFonts w:cs="Times New Roman"/>
        </w:rPr>
        <w:t>Individuals eligible for Medicaid under the new rules will als</w:t>
      </w:r>
      <w:r w:rsidR="00DD380A">
        <w:rPr>
          <w:rFonts w:cs="Times New Roman"/>
        </w:rPr>
        <w:t>o be able to apply through the M</w:t>
      </w:r>
      <w:r w:rsidR="00130261" w:rsidRPr="00637656">
        <w:rPr>
          <w:rFonts w:cs="Times New Roman"/>
        </w:rPr>
        <w:t>arketplaces</w:t>
      </w:r>
      <w:r w:rsidR="00DD380A">
        <w:rPr>
          <w:rFonts w:cs="Times New Roman"/>
        </w:rPr>
        <w:t xml:space="preserve"> as they are intended to be one-stop access point for coverage</w:t>
      </w:r>
      <w:r w:rsidR="00130261" w:rsidRPr="00637656">
        <w:rPr>
          <w:rFonts w:cs="Times New Roman"/>
        </w:rPr>
        <w:t>.</w:t>
      </w:r>
      <w:r w:rsidR="00FB00E7" w:rsidRPr="00637656">
        <w:rPr>
          <w:rFonts w:cs="Times New Roman"/>
        </w:rPr>
        <w:t xml:space="preserve"> </w:t>
      </w:r>
      <w:r w:rsidR="00DD380A">
        <w:rPr>
          <w:rFonts w:cs="Times New Roman"/>
        </w:rPr>
        <w:t xml:space="preserve"> </w:t>
      </w:r>
      <w:r w:rsidR="00FB00E7" w:rsidRPr="00637656">
        <w:rPr>
          <w:rFonts w:cs="Times New Roman"/>
        </w:rPr>
        <w:t>Small employers can select and purchase a plan for their employees, and in some states they can select a range of plans from which their employees can choose.</w:t>
      </w:r>
      <w:r w:rsidR="00F96945">
        <w:rPr>
          <w:rFonts w:cs="Times New Roman"/>
        </w:rPr>
        <w:t xml:space="preserve">  </w:t>
      </w:r>
      <w:r w:rsidR="009E7203" w:rsidRPr="00637656">
        <w:rPr>
          <w:rFonts w:cs="Times New Roman"/>
        </w:rPr>
        <w:t xml:space="preserve">Each state has its own </w:t>
      </w:r>
      <w:r w:rsidR="00620B82" w:rsidRPr="00637656">
        <w:rPr>
          <w:rFonts w:cs="Times New Roman"/>
        </w:rPr>
        <w:t>Marketplace</w:t>
      </w:r>
      <w:r w:rsidR="009E7203" w:rsidRPr="00637656">
        <w:rPr>
          <w:rFonts w:cs="Times New Roman"/>
        </w:rPr>
        <w:t xml:space="preserve">, although in many states the </w:t>
      </w:r>
      <w:r w:rsidR="00620B82" w:rsidRPr="00637656">
        <w:rPr>
          <w:rFonts w:cs="Times New Roman"/>
        </w:rPr>
        <w:t xml:space="preserve">Exchange </w:t>
      </w:r>
      <w:r w:rsidR="009E7203" w:rsidRPr="00637656">
        <w:rPr>
          <w:rFonts w:cs="Times New Roman"/>
        </w:rPr>
        <w:t xml:space="preserve">is run by the federal government. </w:t>
      </w:r>
      <w:r w:rsidR="00DD380A">
        <w:rPr>
          <w:rFonts w:cs="Times New Roman"/>
        </w:rPr>
        <w:t xml:space="preserve"> </w:t>
      </w:r>
      <w:r w:rsidR="009E7203" w:rsidRPr="00637656">
        <w:rPr>
          <w:rFonts w:cs="Times New Roman"/>
        </w:rPr>
        <w:t>On</w:t>
      </w:r>
      <w:r w:rsidR="00DD380A">
        <w:rPr>
          <w:rFonts w:cs="Times New Roman"/>
        </w:rPr>
        <w:t xml:space="preserve"> or after</w:t>
      </w:r>
      <w:r w:rsidR="009E7203" w:rsidRPr="00637656">
        <w:rPr>
          <w:rFonts w:cs="Times New Roman"/>
        </w:rPr>
        <w:t xml:space="preserve"> October 1,</w:t>
      </w:r>
      <w:r w:rsidR="00DD380A">
        <w:rPr>
          <w:rFonts w:cs="Times New Roman"/>
        </w:rPr>
        <w:t xml:space="preserve"> 2013, </w:t>
      </w:r>
      <w:hyperlink r:id="rId9" w:history="1">
        <w:r w:rsidR="009E7203" w:rsidRPr="00637656">
          <w:rPr>
            <w:rStyle w:val="Hyperlink"/>
            <w:rFonts w:cs="Times New Roman"/>
          </w:rPr>
          <w:t>www.healthcare.gov</w:t>
        </w:r>
      </w:hyperlink>
      <w:r w:rsidR="009E7203" w:rsidRPr="00637656">
        <w:rPr>
          <w:rFonts w:cs="Times New Roman"/>
        </w:rPr>
        <w:t xml:space="preserve"> will serve as the portal to al</w:t>
      </w:r>
      <w:r w:rsidR="00AD5153" w:rsidRPr="00637656">
        <w:rPr>
          <w:rFonts w:cs="Times New Roman"/>
        </w:rPr>
        <w:t>l state marketplaces.</w:t>
      </w:r>
      <w:r w:rsidR="00DD380A">
        <w:rPr>
          <w:rFonts w:cs="Times New Roman"/>
        </w:rPr>
        <w:t xml:space="preserve"> </w:t>
      </w:r>
      <w:r w:rsidR="00AD5153" w:rsidRPr="00637656">
        <w:rPr>
          <w:rFonts w:cs="Times New Roman"/>
        </w:rPr>
        <w:t xml:space="preserve"> </w:t>
      </w:r>
    </w:p>
    <w:p w:rsidR="00DD380A" w:rsidRDefault="00DD380A" w:rsidP="009E7203">
      <w:pPr>
        <w:rPr>
          <w:rFonts w:cs="Times New Roman"/>
        </w:rPr>
      </w:pPr>
    </w:p>
    <w:p w:rsidR="009E7203" w:rsidRPr="00637656" w:rsidRDefault="00AD5153" w:rsidP="009E7203">
      <w:pPr>
        <w:rPr>
          <w:rFonts w:cs="Times New Roman"/>
        </w:rPr>
      </w:pPr>
      <w:r w:rsidRPr="00637656">
        <w:rPr>
          <w:rFonts w:cs="Times New Roman"/>
        </w:rPr>
        <w:t>In</w:t>
      </w:r>
      <w:r w:rsidR="00DD380A">
        <w:rPr>
          <w:rFonts w:cs="Times New Roman"/>
        </w:rPr>
        <w:t xml:space="preserve"> states utilizing the federally-facilitated e</w:t>
      </w:r>
      <w:r w:rsidRPr="00637656">
        <w:rPr>
          <w:rFonts w:cs="Times New Roman"/>
        </w:rPr>
        <w:t>xchange (</w:t>
      </w:r>
      <w:r w:rsidR="00DD380A">
        <w:rPr>
          <w:rFonts w:cs="Times New Roman"/>
        </w:rPr>
        <w:t>“</w:t>
      </w:r>
      <w:r w:rsidRPr="00637656">
        <w:rPr>
          <w:rFonts w:cs="Times New Roman"/>
        </w:rPr>
        <w:t>FFE</w:t>
      </w:r>
      <w:r w:rsidR="00DD380A">
        <w:rPr>
          <w:rFonts w:cs="Times New Roman"/>
        </w:rPr>
        <w:t>”) to run their Marketplace</w:t>
      </w:r>
      <w:r w:rsidR="009E7203" w:rsidRPr="00637656">
        <w:rPr>
          <w:rFonts w:cs="Times New Roman"/>
        </w:rPr>
        <w:t xml:space="preserve">, </w:t>
      </w:r>
      <w:r w:rsidRPr="00637656">
        <w:rPr>
          <w:rFonts w:cs="Times New Roman"/>
        </w:rPr>
        <w:t xml:space="preserve">individuals and small employers </w:t>
      </w:r>
      <w:r w:rsidR="009E7203" w:rsidRPr="00637656">
        <w:rPr>
          <w:rFonts w:cs="Times New Roman"/>
        </w:rPr>
        <w:t xml:space="preserve">can </w:t>
      </w:r>
      <w:r w:rsidRPr="00637656">
        <w:rPr>
          <w:rFonts w:cs="Times New Roman"/>
        </w:rPr>
        <w:t>purchase</w:t>
      </w:r>
      <w:r w:rsidR="009E7203" w:rsidRPr="00637656">
        <w:rPr>
          <w:rFonts w:cs="Times New Roman"/>
        </w:rPr>
        <w:t xml:space="preserve"> directly from this site.</w:t>
      </w:r>
      <w:r w:rsidR="00DD380A">
        <w:rPr>
          <w:rFonts w:cs="Times New Roman"/>
        </w:rPr>
        <w:t xml:space="preserve"> </w:t>
      </w:r>
      <w:r w:rsidR="009E7203" w:rsidRPr="00637656">
        <w:rPr>
          <w:rFonts w:cs="Times New Roman"/>
        </w:rPr>
        <w:t xml:space="preserve"> </w:t>
      </w:r>
      <w:r w:rsidRPr="00637656">
        <w:rPr>
          <w:rFonts w:cs="Times New Roman"/>
        </w:rPr>
        <w:t xml:space="preserve">In </w:t>
      </w:r>
      <w:r w:rsidR="009E7203" w:rsidRPr="00637656">
        <w:rPr>
          <w:rFonts w:cs="Times New Roman"/>
        </w:rPr>
        <w:t>states</w:t>
      </w:r>
      <w:r w:rsidRPr="00637656">
        <w:rPr>
          <w:rFonts w:cs="Times New Roman"/>
        </w:rPr>
        <w:t xml:space="preserve"> operating their Exchange independent of the FFE</w:t>
      </w:r>
      <w:r w:rsidR="009E7203" w:rsidRPr="00637656">
        <w:rPr>
          <w:rFonts w:cs="Times New Roman"/>
        </w:rPr>
        <w:t xml:space="preserve">, </w:t>
      </w:r>
      <w:r w:rsidRPr="00637656">
        <w:rPr>
          <w:rFonts w:cs="Times New Roman"/>
        </w:rPr>
        <w:t xml:space="preserve">individuals and small employers can use that </w:t>
      </w:r>
      <w:r w:rsidR="009E7203" w:rsidRPr="00637656">
        <w:rPr>
          <w:rFonts w:cs="Times New Roman"/>
        </w:rPr>
        <w:t xml:space="preserve">website </w:t>
      </w:r>
      <w:r w:rsidRPr="00637656">
        <w:rPr>
          <w:rFonts w:cs="Times New Roman"/>
        </w:rPr>
        <w:t xml:space="preserve">to access </w:t>
      </w:r>
      <w:r w:rsidR="00DD380A">
        <w:rPr>
          <w:rFonts w:cs="Times New Roman"/>
        </w:rPr>
        <w:t xml:space="preserve">their </w:t>
      </w:r>
      <w:r w:rsidRPr="00637656">
        <w:rPr>
          <w:rFonts w:cs="Times New Roman"/>
        </w:rPr>
        <w:t>state’s M</w:t>
      </w:r>
      <w:r w:rsidR="009E7203" w:rsidRPr="00637656">
        <w:rPr>
          <w:rFonts w:cs="Times New Roman"/>
        </w:rPr>
        <w:t>arketplace</w:t>
      </w:r>
      <w:r w:rsidRPr="00637656">
        <w:rPr>
          <w:rFonts w:cs="Times New Roman"/>
        </w:rPr>
        <w:t>, or go to the site for their state’s Exchange directly</w:t>
      </w:r>
      <w:r w:rsidR="009E7203" w:rsidRPr="00637656">
        <w:rPr>
          <w:rFonts w:cs="Times New Roman"/>
        </w:rPr>
        <w:t xml:space="preserve">. </w:t>
      </w:r>
      <w:r w:rsidR="006B7CC4" w:rsidRPr="00637656">
        <w:rPr>
          <w:rFonts w:cs="Times New Roman"/>
        </w:rPr>
        <w:t xml:space="preserve"> The </w:t>
      </w:r>
      <w:r w:rsidR="00EA0D6B" w:rsidRPr="00637656">
        <w:rPr>
          <w:rFonts w:cs="Times New Roman"/>
        </w:rPr>
        <w:t xml:space="preserve">online Marketplaces </w:t>
      </w:r>
      <w:r w:rsidR="009E7203" w:rsidRPr="00637656">
        <w:rPr>
          <w:rFonts w:cs="Times New Roman"/>
        </w:rPr>
        <w:t xml:space="preserve">will request </w:t>
      </w:r>
      <w:r w:rsidR="006B7CC4" w:rsidRPr="00637656">
        <w:rPr>
          <w:rFonts w:cs="Times New Roman"/>
        </w:rPr>
        <w:t xml:space="preserve">from the users </w:t>
      </w:r>
      <w:r w:rsidR="009E7203" w:rsidRPr="00637656">
        <w:rPr>
          <w:rFonts w:cs="Times New Roman"/>
        </w:rPr>
        <w:t xml:space="preserve">some basic information, such as the user’s income and </w:t>
      </w:r>
      <w:r w:rsidR="00EA0D6B" w:rsidRPr="00637656">
        <w:rPr>
          <w:rFonts w:cs="Times New Roman"/>
        </w:rPr>
        <w:t>preferred type of insurance coverage</w:t>
      </w:r>
      <w:r w:rsidR="009E7203" w:rsidRPr="00637656">
        <w:rPr>
          <w:rFonts w:cs="Times New Roman"/>
        </w:rPr>
        <w:t xml:space="preserve">, and then display suitable </w:t>
      </w:r>
      <w:r w:rsidR="00EA0D6B" w:rsidRPr="00637656">
        <w:rPr>
          <w:rFonts w:cs="Times New Roman"/>
        </w:rPr>
        <w:t>plan options along</w:t>
      </w:r>
      <w:r w:rsidR="00DD380A">
        <w:rPr>
          <w:rFonts w:cs="Times New Roman"/>
        </w:rPr>
        <w:t xml:space="preserve"> with basic information</w:t>
      </w:r>
      <w:r w:rsidR="00EA0D6B" w:rsidRPr="00637656">
        <w:rPr>
          <w:rFonts w:cs="Times New Roman"/>
        </w:rPr>
        <w:t xml:space="preserve"> </w:t>
      </w:r>
      <w:r w:rsidR="009E7203" w:rsidRPr="00637656">
        <w:rPr>
          <w:rFonts w:cs="Times New Roman"/>
        </w:rPr>
        <w:t xml:space="preserve">detailing </w:t>
      </w:r>
      <w:r w:rsidR="00DD380A">
        <w:rPr>
          <w:rFonts w:cs="Times New Roman"/>
        </w:rPr>
        <w:t xml:space="preserve">the </w:t>
      </w:r>
      <w:r w:rsidR="009E7203" w:rsidRPr="00637656">
        <w:rPr>
          <w:rFonts w:cs="Times New Roman"/>
        </w:rPr>
        <w:t>plans’ benefits and costs.</w:t>
      </w:r>
      <w:r w:rsidR="006B7CC4" w:rsidRPr="00637656">
        <w:rPr>
          <w:rFonts w:cs="Times New Roman"/>
        </w:rPr>
        <w:t xml:space="preserve"> </w:t>
      </w:r>
      <w:r w:rsidR="009E7203" w:rsidRPr="00637656">
        <w:rPr>
          <w:rFonts w:cs="Times New Roman"/>
        </w:rPr>
        <w:t xml:space="preserve"> </w:t>
      </w:r>
    </w:p>
    <w:p w:rsidR="009E7203" w:rsidRPr="00637656" w:rsidRDefault="009E7203" w:rsidP="009E7203">
      <w:pPr>
        <w:rPr>
          <w:rFonts w:cs="Times New Roman"/>
        </w:rPr>
      </w:pPr>
    </w:p>
    <w:p w:rsidR="009E7203" w:rsidRPr="00637656" w:rsidRDefault="009E7203" w:rsidP="009E7203">
      <w:pPr>
        <w:rPr>
          <w:rFonts w:cs="Times New Roman"/>
        </w:rPr>
      </w:pPr>
      <w:r w:rsidRPr="00637656">
        <w:rPr>
          <w:rFonts w:cs="Times New Roman"/>
        </w:rPr>
        <w:t>The marketplaces will offer five different categories of insurance plan</w:t>
      </w:r>
      <w:r w:rsidR="00DD380A">
        <w:rPr>
          <w:rFonts w:cs="Times New Roman"/>
        </w:rPr>
        <w:t>s</w:t>
      </w:r>
      <w:r w:rsidRPr="00637656">
        <w:rPr>
          <w:rFonts w:cs="Times New Roman"/>
        </w:rPr>
        <w:t>: catastrophic, bronze, silver, gold, and platinum. Catastrophic plans have low premiums, high cost-sharing, and are available only to tho</w:t>
      </w:r>
      <w:r w:rsidR="00DD380A">
        <w:rPr>
          <w:rFonts w:cs="Times New Roman"/>
        </w:rPr>
        <w:t>se under the age of 30 who cannot</w:t>
      </w:r>
      <w:r w:rsidRPr="00637656">
        <w:rPr>
          <w:rFonts w:cs="Times New Roman"/>
        </w:rPr>
        <w:t xml:space="preserve"> find affordable insurance </w:t>
      </w:r>
      <w:r w:rsidR="00DD380A">
        <w:rPr>
          <w:rFonts w:cs="Times New Roman"/>
        </w:rPr>
        <w:t xml:space="preserve">coverage </w:t>
      </w:r>
      <w:r w:rsidRPr="00637656">
        <w:rPr>
          <w:rFonts w:cs="Times New Roman"/>
        </w:rPr>
        <w:t xml:space="preserve">elsewhere. </w:t>
      </w:r>
      <w:r w:rsidR="00DD380A">
        <w:rPr>
          <w:rFonts w:cs="Times New Roman"/>
        </w:rPr>
        <w:t xml:space="preserve"> </w:t>
      </w:r>
      <w:r w:rsidRPr="00637656">
        <w:rPr>
          <w:rFonts w:cs="Times New Roman"/>
        </w:rPr>
        <w:t>Bronze, silver, gold, and platinum plans</w:t>
      </w:r>
      <w:r w:rsidR="00DD380A">
        <w:rPr>
          <w:rFonts w:cs="Times New Roman"/>
        </w:rPr>
        <w:t xml:space="preserve"> cover 60%, 70%, 80%, and 90% </w:t>
      </w:r>
      <w:r w:rsidRPr="00637656">
        <w:rPr>
          <w:rFonts w:cs="Times New Roman"/>
        </w:rPr>
        <w:t xml:space="preserve">of the cost of care, respectively. </w:t>
      </w:r>
      <w:r w:rsidR="00DD380A">
        <w:rPr>
          <w:rFonts w:cs="Times New Roman"/>
        </w:rPr>
        <w:t xml:space="preserve"> </w:t>
      </w:r>
      <w:r w:rsidRPr="00637656">
        <w:rPr>
          <w:rFonts w:cs="Times New Roman"/>
        </w:rPr>
        <w:t xml:space="preserve">Bronze </w:t>
      </w:r>
      <w:r w:rsidR="006B7CC4" w:rsidRPr="00637656">
        <w:rPr>
          <w:rFonts w:cs="Times New Roman"/>
        </w:rPr>
        <w:t xml:space="preserve">tier coverage will have </w:t>
      </w:r>
      <w:r w:rsidR="005911AD">
        <w:rPr>
          <w:rFonts w:cs="Times New Roman"/>
        </w:rPr>
        <w:t>the lowest premiums</w:t>
      </w:r>
      <w:r w:rsidRPr="00637656">
        <w:rPr>
          <w:rFonts w:cs="Times New Roman"/>
        </w:rPr>
        <w:t xml:space="preserve"> </w:t>
      </w:r>
      <w:r w:rsidR="006B7CC4" w:rsidRPr="00637656">
        <w:rPr>
          <w:rFonts w:cs="Times New Roman"/>
        </w:rPr>
        <w:t xml:space="preserve">and </w:t>
      </w:r>
      <w:r w:rsidRPr="00637656">
        <w:rPr>
          <w:rFonts w:cs="Times New Roman"/>
        </w:rPr>
        <w:t xml:space="preserve">platinum </w:t>
      </w:r>
      <w:r w:rsidR="005911AD">
        <w:rPr>
          <w:rFonts w:cs="Times New Roman"/>
        </w:rPr>
        <w:t xml:space="preserve">tier coverage will have the </w:t>
      </w:r>
      <w:r w:rsidRPr="00637656">
        <w:rPr>
          <w:rFonts w:cs="Times New Roman"/>
        </w:rPr>
        <w:t>highest</w:t>
      </w:r>
      <w:r w:rsidR="006B7CC4" w:rsidRPr="00637656">
        <w:rPr>
          <w:rFonts w:cs="Times New Roman"/>
        </w:rPr>
        <w:t xml:space="preserve"> premiums</w:t>
      </w:r>
      <w:r w:rsidRPr="00637656">
        <w:rPr>
          <w:rFonts w:cs="Times New Roman"/>
        </w:rPr>
        <w:t xml:space="preserve">. </w:t>
      </w:r>
      <w:r w:rsidR="00DD380A">
        <w:rPr>
          <w:rFonts w:cs="Times New Roman"/>
        </w:rPr>
        <w:t xml:space="preserve"> </w:t>
      </w:r>
      <w:r w:rsidRPr="00637656">
        <w:rPr>
          <w:rFonts w:cs="Times New Roman"/>
        </w:rPr>
        <w:t>All of the plans cover the ten essential health benefits required by the ACA</w:t>
      </w:r>
      <w:r w:rsidR="005911AD">
        <w:rPr>
          <w:rFonts w:cs="Times New Roman"/>
        </w:rPr>
        <w:t>, described below.</w:t>
      </w:r>
      <w:r w:rsidRPr="00637656">
        <w:rPr>
          <w:rFonts w:cs="Times New Roman"/>
        </w:rPr>
        <w:t xml:space="preserve"> </w:t>
      </w:r>
    </w:p>
    <w:p w:rsidR="009E7203" w:rsidRPr="00637656" w:rsidRDefault="009E7203" w:rsidP="009E7203">
      <w:pPr>
        <w:rPr>
          <w:rFonts w:cs="Times New Roman"/>
        </w:rPr>
      </w:pPr>
    </w:p>
    <w:p w:rsidR="00493AD4" w:rsidRDefault="009E7203" w:rsidP="009E7203">
      <w:pPr>
        <w:rPr>
          <w:rFonts w:cs="Times New Roman"/>
        </w:rPr>
      </w:pPr>
      <w:r w:rsidRPr="00637656">
        <w:rPr>
          <w:rFonts w:cs="Times New Roman"/>
        </w:rPr>
        <w:t xml:space="preserve">In addition to creating marketplaces to facilitate the sale of </w:t>
      </w:r>
      <w:r w:rsidR="008D05E6">
        <w:rPr>
          <w:rFonts w:cs="Times New Roman"/>
        </w:rPr>
        <w:t xml:space="preserve">competitive </w:t>
      </w:r>
      <w:r w:rsidRPr="00637656">
        <w:rPr>
          <w:rFonts w:cs="Times New Roman"/>
        </w:rPr>
        <w:t xml:space="preserve">insurance plans, the ACA provides premium subsidies for individuals </w:t>
      </w:r>
      <w:r w:rsidR="008D05E6">
        <w:rPr>
          <w:rFonts w:cs="Times New Roman"/>
        </w:rPr>
        <w:t xml:space="preserve">who cannot otherwise afford coverage; those </w:t>
      </w:r>
      <w:r w:rsidRPr="00637656">
        <w:rPr>
          <w:rFonts w:cs="Times New Roman"/>
        </w:rPr>
        <w:t>earning between 100% and 400% of the federal poverty level</w:t>
      </w:r>
      <w:r w:rsidR="008D05E6">
        <w:rPr>
          <w:rFonts w:cs="Times New Roman"/>
        </w:rPr>
        <w:t xml:space="preserve"> (“FPL”)</w:t>
      </w:r>
      <w:r w:rsidRPr="00637656">
        <w:rPr>
          <w:rFonts w:cs="Times New Roman"/>
        </w:rPr>
        <w:t>. These subsidies will vary in value depending on where the indi</w:t>
      </w:r>
      <w:r w:rsidR="008D05E6">
        <w:rPr>
          <w:rFonts w:cs="Times New Roman"/>
        </w:rPr>
        <w:t>vidual’s income falls within the</w:t>
      </w:r>
      <w:r w:rsidRPr="00637656">
        <w:rPr>
          <w:rFonts w:cs="Times New Roman"/>
        </w:rPr>
        <w:t xml:space="preserve">se limits. </w:t>
      </w:r>
      <w:r w:rsidR="008E6D07" w:rsidRPr="00637656">
        <w:rPr>
          <w:rFonts w:cs="Times New Roman"/>
        </w:rPr>
        <w:t xml:space="preserve"> </w:t>
      </w:r>
      <w:r w:rsidRPr="00637656">
        <w:rPr>
          <w:rFonts w:cs="Times New Roman"/>
        </w:rPr>
        <w:t>For those earning between 100%-2</w:t>
      </w:r>
      <w:r w:rsidR="008D05E6">
        <w:rPr>
          <w:rFonts w:cs="Times New Roman"/>
        </w:rPr>
        <w:t>50% of the FPL</w:t>
      </w:r>
      <w:r w:rsidRPr="00637656">
        <w:rPr>
          <w:rFonts w:cs="Times New Roman"/>
        </w:rPr>
        <w:t xml:space="preserve">, subsidies for deductibles and copayments will also be available. </w:t>
      </w:r>
      <w:r w:rsidR="004D6401" w:rsidRPr="00637656">
        <w:rPr>
          <w:rFonts w:cs="Times New Roman"/>
        </w:rPr>
        <w:br/>
      </w:r>
    </w:p>
    <w:p w:rsidR="00E633DB" w:rsidRPr="006E3CA4" w:rsidRDefault="00493AD4" w:rsidP="009E7203">
      <w:pPr>
        <w:rPr>
          <w:rFonts w:cs="Times New Roman"/>
        </w:rPr>
      </w:pPr>
      <w:r w:rsidRPr="00637656">
        <w:rPr>
          <w:rFonts w:cs="Times New Roman"/>
          <w:noProof/>
        </w:rPr>
        <w:drawing>
          <wp:inline distT="0" distB="0" distL="0" distR="0">
            <wp:extent cx="5724525" cy="4033771"/>
            <wp:effectExtent l="19050" t="0" r="9525" b="0"/>
            <wp:docPr id="4" name="Picture 1" descr="Exchange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change Table.png"/>
                    <pic:cNvPicPr/>
                  </pic:nvPicPr>
                  <pic:blipFill>
                    <a:blip r:embed="rId10"/>
                    <a:stretch>
                      <a:fillRect/>
                    </a:stretch>
                  </pic:blipFill>
                  <pic:spPr>
                    <a:xfrm>
                      <a:off x="0" y="0"/>
                      <a:ext cx="5734528" cy="4040819"/>
                    </a:xfrm>
                    <a:prstGeom prst="rect">
                      <a:avLst/>
                    </a:prstGeom>
                  </pic:spPr>
                </pic:pic>
              </a:graphicData>
            </a:graphic>
          </wp:inline>
        </w:drawing>
      </w:r>
      <w:r w:rsidR="006E3CA4">
        <w:rPr>
          <w:rFonts w:cs="Times New Roman"/>
        </w:rPr>
        <w:br/>
      </w:r>
      <w:r w:rsidRPr="00637656">
        <w:rPr>
          <w:rFonts w:cs="Times New Roman"/>
          <w:sz w:val="20"/>
          <w:szCs w:val="20"/>
        </w:rPr>
        <w:t>17 State Exchanges; 34 Marketplaces Operating through FFE, with 7 in a managing partnership with HHS</w:t>
      </w:r>
      <w:r w:rsidR="006E3CA4">
        <w:rPr>
          <w:rFonts w:cs="Times New Roman"/>
          <w:sz w:val="20"/>
          <w:szCs w:val="20"/>
        </w:rPr>
        <w:br/>
      </w:r>
      <w:hyperlink r:id="rId11" w:history="1">
        <w:r w:rsidRPr="00493AD4">
          <w:rPr>
            <w:rStyle w:val="Hyperlink"/>
            <w:rFonts w:cs="Times New Roman"/>
            <w:sz w:val="20"/>
            <w:szCs w:val="20"/>
          </w:rPr>
          <w:t>Table Courtesy of Kaiser Family Foundation</w:t>
        </w:r>
      </w:hyperlink>
      <w:r w:rsidR="00D361A0">
        <w:rPr>
          <w:rFonts w:cs="Times New Roman"/>
          <w:b/>
          <w:u w:val="single"/>
        </w:rPr>
        <w:br/>
      </w:r>
    </w:p>
    <w:p w:rsidR="009E7203" w:rsidRPr="00493AD4" w:rsidRDefault="008E6D07" w:rsidP="009E7203">
      <w:pPr>
        <w:rPr>
          <w:rFonts w:cs="Times New Roman"/>
          <w:sz w:val="20"/>
          <w:szCs w:val="20"/>
        </w:rPr>
      </w:pPr>
      <w:r w:rsidRPr="00637656">
        <w:rPr>
          <w:rFonts w:cs="Times New Roman"/>
          <w:b/>
          <w:u w:val="single"/>
        </w:rPr>
        <w:t>Small Employer Exchanges</w:t>
      </w:r>
    </w:p>
    <w:p w:rsidR="008E6D07" w:rsidRPr="00637656" w:rsidRDefault="008E6D07" w:rsidP="009E7203">
      <w:pPr>
        <w:rPr>
          <w:rFonts w:cs="Times New Roman"/>
        </w:rPr>
      </w:pPr>
    </w:p>
    <w:p w:rsidR="00D96640" w:rsidRPr="00637656" w:rsidRDefault="008D05E6" w:rsidP="009E7203">
      <w:pPr>
        <w:rPr>
          <w:rFonts w:cs="Times New Roman"/>
        </w:rPr>
      </w:pPr>
      <w:r>
        <w:rPr>
          <w:rFonts w:cs="Times New Roman"/>
        </w:rPr>
        <w:t xml:space="preserve">The ACA </w:t>
      </w:r>
      <w:r w:rsidR="009E7203" w:rsidRPr="00637656">
        <w:rPr>
          <w:rFonts w:cs="Times New Roman"/>
        </w:rPr>
        <w:t>provides for the creation of health insurance marketplaces exclusive</w:t>
      </w:r>
      <w:r>
        <w:rPr>
          <w:rFonts w:cs="Times New Roman"/>
        </w:rPr>
        <w:t xml:space="preserve">ly for small businesses, otherwise known as </w:t>
      </w:r>
      <w:r w:rsidR="009E7203" w:rsidRPr="00637656">
        <w:rPr>
          <w:rFonts w:cs="Times New Roman"/>
        </w:rPr>
        <w:t>the Small Business Health Options Program (</w:t>
      </w:r>
      <w:r>
        <w:rPr>
          <w:rFonts w:cs="Times New Roman"/>
        </w:rPr>
        <w:t>“</w:t>
      </w:r>
      <w:r w:rsidR="009E7203" w:rsidRPr="00637656">
        <w:rPr>
          <w:rFonts w:cs="Times New Roman"/>
        </w:rPr>
        <w:t>SHOP</w:t>
      </w:r>
      <w:r>
        <w:rPr>
          <w:rFonts w:cs="Times New Roman"/>
        </w:rPr>
        <w:t>”</w:t>
      </w:r>
      <w:r w:rsidR="009E7203" w:rsidRPr="00637656">
        <w:rPr>
          <w:rFonts w:cs="Times New Roman"/>
        </w:rPr>
        <w:t xml:space="preserve">). </w:t>
      </w:r>
      <w:r>
        <w:rPr>
          <w:rFonts w:cs="Times New Roman"/>
        </w:rPr>
        <w:t xml:space="preserve"> </w:t>
      </w:r>
      <w:r w:rsidR="009E7203" w:rsidRPr="00637656">
        <w:rPr>
          <w:rFonts w:cs="Times New Roman"/>
        </w:rPr>
        <w:t xml:space="preserve">For </w:t>
      </w:r>
      <w:r w:rsidR="00435FC6" w:rsidRPr="00637656">
        <w:rPr>
          <w:rFonts w:cs="Times New Roman"/>
        </w:rPr>
        <w:t xml:space="preserve">most </w:t>
      </w:r>
      <w:r w:rsidR="009E7203" w:rsidRPr="00637656">
        <w:rPr>
          <w:rFonts w:cs="Times New Roman"/>
        </w:rPr>
        <w:t xml:space="preserve">states </w:t>
      </w:r>
      <w:r w:rsidR="00837EC5" w:rsidRPr="00637656">
        <w:rPr>
          <w:rFonts w:cs="Times New Roman"/>
        </w:rPr>
        <w:t>operating their individual market exchanges through the FFE,</w:t>
      </w:r>
      <w:r w:rsidR="009E7203" w:rsidRPr="00637656">
        <w:rPr>
          <w:rFonts w:cs="Times New Roman"/>
        </w:rPr>
        <w:t xml:space="preserve"> </w:t>
      </w:r>
      <w:r w:rsidR="00BF3D24">
        <w:rPr>
          <w:rFonts w:cs="Times New Roman"/>
        </w:rPr>
        <w:t>HHS</w:t>
      </w:r>
      <w:r w:rsidR="009E7203" w:rsidRPr="00637656">
        <w:rPr>
          <w:rFonts w:cs="Times New Roman"/>
        </w:rPr>
        <w:t xml:space="preserve"> will run both a SHOP and individual marketplace.</w:t>
      </w:r>
      <w:r w:rsidR="00DD5C03" w:rsidRPr="00637656">
        <w:rPr>
          <w:rStyle w:val="FootnoteReference"/>
          <w:rFonts w:cs="Times New Roman"/>
        </w:rPr>
        <w:footnoteReference w:id="1"/>
      </w:r>
      <w:r w:rsidR="009E7203" w:rsidRPr="00637656">
        <w:rPr>
          <w:rFonts w:cs="Times New Roman"/>
        </w:rPr>
        <w:t xml:space="preserve"> </w:t>
      </w:r>
      <w:r w:rsidR="00BF3D24">
        <w:rPr>
          <w:rFonts w:cs="Times New Roman"/>
        </w:rPr>
        <w:t xml:space="preserve"> </w:t>
      </w:r>
      <w:r w:rsidR="009E7203" w:rsidRPr="00637656">
        <w:rPr>
          <w:rFonts w:cs="Times New Roman"/>
        </w:rPr>
        <w:t xml:space="preserve">States that run their own marketplaces have the option of opening the two markets separately, or integrating them into one. </w:t>
      </w:r>
      <w:r w:rsidR="00BF3D24">
        <w:rPr>
          <w:rFonts w:cs="Times New Roman"/>
        </w:rPr>
        <w:t xml:space="preserve"> </w:t>
      </w:r>
      <w:r w:rsidR="009E7203" w:rsidRPr="00637656">
        <w:rPr>
          <w:rFonts w:cs="Times New Roman"/>
        </w:rPr>
        <w:t>Throughout 2014, the SHOP marketplaces will be available to all businesses with fewer than 50 employees.  Beginning in January 2015, the market will open for businesses</w:t>
      </w:r>
      <w:r w:rsidR="00D96640" w:rsidRPr="00637656">
        <w:rPr>
          <w:rFonts w:cs="Times New Roman"/>
        </w:rPr>
        <w:t xml:space="preserve"> with as many as 100 employees.  </w:t>
      </w:r>
    </w:p>
    <w:p w:rsidR="00D96640" w:rsidRPr="00637656" w:rsidRDefault="00D96640" w:rsidP="009E7203">
      <w:pPr>
        <w:rPr>
          <w:rFonts w:cs="Times New Roman"/>
        </w:rPr>
      </w:pPr>
    </w:p>
    <w:p w:rsidR="009E7203" w:rsidRPr="00637656" w:rsidRDefault="003667C2" w:rsidP="009E7203">
      <w:pPr>
        <w:rPr>
          <w:rFonts w:cs="Times New Roman"/>
        </w:rPr>
      </w:pPr>
      <w:r w:rsidRPr="00637656">
        <w:rPr>
          <w:rFonts w:cs="Times New Roman"/>
        </w:rPr>
        <w:t>Some features of the SHOP E</w:t>
      </w:r>
      <w:r w:rsidR="009E7203" w:rsidRPr="00637656">
        <w:rPr>
          <w:rFonts w:cs="Times New Roman"/>
        </w:rPr>
        <w:t xml:space="preserve">xchanges will be </w:t>
      </w:r>
      <w:r w:rsidRPr="00637656">
        <w:rPr>
          <w:rFonts w:cs="Times New Roman"/>
        </w:rPr>
        <w:t xml:space="preserve">operational </w:t>
      </w:r>
      <w:r w:rsidR="009E7203" w:rsidRPr="00637656">
        <w:rPr>
          <w:rFonts w:cs="Times New Roman"/>
        </w:rPr>
        <w:t>on October 1</w:t>
      </w:r>
      <w:r w:rsidR="00BF3D24">
        <w:rPr>
          <w:rFonts w:cs="Times New Roman"/>
        </w:rPr>
        <w:t>, 2013</w:t>
      </w:r>
      <w:r w:rsidRPr="00637656">
        <w:rPr>
          <w:rFonts w:cs="Times New Roman"/>
        </w:rPr>
        <w:t>.</w:t>
      </w:r>
      <w:r w:rsidR="009E7203" w:rsidRPr="00637656">
        <w:rPr>
          <w:rFonts w:cs="Times New Roman"/>
        </w:rPr>
        <w:t xml:space="preserve"> </w:t>
      </w:r>
      <w:r w:rsidR="00BF3D24">
        <w:rPr>
          <w:rFonts w:cs="Times New Roman"/>
        </w:rPr>
        <w:t xml:space="preserve"> </w:t>
      </w:r>
      <w:r w:rsidRPr="00637656">
        <w:rPr>
          <w:rFonts w:cs="Times New Roman"/>
        </w:rPr>
        <w:t xml:space="preserve">The </w:t>
      </w:r>
      <w:r w:rsidR="009E7203" w:rsidRPr="00637656">
        <w:rPr>
          <w:rFonts w:cs="Times New Roman"/>
        </w:rPr>
        <w:t xml:space="preserve">federal SHOP marketplace website </w:t>
      </w:r>
      <w:r w:rsidRPr="00637656">
        <w:rPr>
          <w:rFonts w:cs="Times New Roman"/>
        </w:rPr>
        <w:t xml:space="preserve">will not </w:t>
      </w:r>
      <w:r w:rsidR="009E7203" w:rsidRPr="00637656">
        <w:rPr>
          <w:rFonts w:cs="Times New Roman"/>
        </w:rPr>
        <w:t xml:space="preserve">be online until November. </w:t>
      </w:r>
      <w:r w:rsidR="00BF3D24">
        <w:rPr>
          <w:rFonts w:cs="Times New Roman"/>
        </w:rPr>
        <w:t xml:space="preserve"> </w:t>
      </w:r>
      <w:r w:rsidR="00123476" w:rsidRPr="00637656">
        <w:rPr>
          <w:rFonts w:cs="Times New Roman"/>
        </w:rPr>
        <w:t>During</w:t>
      </w:r>
      <w:r w:rsidR="00BF3D24">
        <w:rPr>
          <w:rFonts w:cs="Times New Roman"/>
        </w:rPr>
        <w:t xml:space="preserve"> the month of</w:t>
      </w:r>
      <w:r w:rsidR="00123476" w:rsidRPr="00637656">
        <w:rPr>
          <w:rFonts w:cs="Times New Roman"/>
        </w:rPr>
        <w:t xml:space="preserve"> October</w:t>
      </w:r>
      <w:r w:rsidR="00BF3D24">
        <w:rPr>
          <w:rFonts w:cs="Times New Roman"/>
        </w:rPr>
        <w:t>,</w:t>
      </w:r>
      <w:r w:rsidR="009E7203" w:rsidRPr="00637656">
        <w:rPr>
          <w:rFonts w:cs="Times New Roman"/>
        </w:rPr>
        <w:t xml:space="preserve"> businesses can app</w:t>
      </w:r>
      <w:r w:rsidR="00BF3D24">
        <w:rPr>
          <w:rFonts w:cs="Times New Roman"/>
        </w:rPr>
        <w:t xml:space="preserve">ly via paper application or by telephone. </w:t>
      </w:r>
      <w:r w:rsidR="009E7203" w:rsidRPr="00637656">
        <w:rPr>
          <w:rFonts w:cs="Times New Roman"/>
        </w:rPr>
        <w:t xml:space="preserve"> As the SHOPs were originally conceived, an employer </w:t>
      </w:r>
      <w:r w:rsidR="00123476" w:rsidRPr="00637656">
        <w:rPr>
          <w:rFonts w:cs="Times New Roman"/>
        </w:rPr>
        <w:t xml:space="preserve">could </w:t>
      </w:r>
      <w:r w:rsidR="009E7203" w:rsidRPr="00637656">
        <w:rPr>
          <w:rFonts w:cs="Times New Roman"/>
        </w:rPr>
        <w:t>specify a metal tier—</w:t>
      </w:r>
      <w:r w:rsidR="00117180" w:rsidRPr="00637656">
        <w:rPr>
          <w:rFonts w:cs="Times New Roman"/>
        </w:rPr>
        <w:t xml:space="preserve"> </w:t>
      </w:r>
      <w:r w:rsidR="00637656" w:rsidRPr="00637656">
        <w:rPr>
          <w:rFonts w:cs="Times New Roman"/>
        </w:rPr>
        <w:t>bronze</w:t>
      </w:r>
      <w:r w:rsidR="009E7203" w:rsidRPr="00637656">
        <w:rPr>
          <w:rFonts w:cs="Times New Roman"/>
        </w:rPr>
        <w:t xml:space="preserve">, silver, gold, or platinum—and their employees </w:t>
      </w:r>
      <w:r w:rsidR="00123476" w:rsidRPr="00637656">
        <w:rPr>
          <w:rFonts w:cs="Times New Roman"/>
        </w:rPr>
        <w:t xml:space="preserve">could choose from a range of plans on that </w:t>
      </w:r>
      <w:r w:rsidR="009E7203" w:rsidRPr="00637656">
        <w:rPr>
          <w:rFonts w:cs="Times New Roman"/>
        </w:rPr>
        <w:t xml:space="preserve">tier. </w:t>
      </w:r>
      <w:r w:rsidR="00D96640" w:rsidRPr="00637656">
        <w:rPr>
          <w:rFonts w:cs="Times New Roman"/>
        </w:rPr>
        <w:t xml:space="preserve"> </w:t>
      </w:r>
      <w:r w:rsidR="00123476" w:rsidRPr="00637656">
        <w:rPr>
          <w:rFonts w:cs="Times New Roman"/>
        </w:rPr>
        <w:t>But for 2014,</w:t>
      </w:r>
      <w:r w:rsidR="009E7203" w:rsidRPr="00637656">
        <w:rPr>
          <w:rFonts w:cs="Times New Roman"/>
        </w:rPr>
        <w:t xml:space="preserve"> </w:t>
      </w:r>
      <w:r w:rsidR="00123476" w:rsidRPr="00637656">
        <w:rPr>
          <w:rFonts w:cs="Times New Roman"/>
        </w:rPr>
        <w:t xml:space="preserve">FFE </w:t>
      </w:r>
      <w:r w:rsidR="00311EAF" w:rsidRPr="00637656">
        <w:rPr>
          <w:rFonts w:cs="Times New Roman"/>
        </w:rPr>
        <w:t xml:space="preserve">SHOP marketplaces will have </w:t>
      </w:r>
      <w:r w:rsidR="009E7203" w:rsidRPr="00637656">
        <w:rPr>
          <w:rFonts w:cs="Times New Roman"/>
        </w:rPr>
        <w:t xml:space="preserve">employers </w:t>
      </w:r>
      <w:r w:rsidR="00311EAF" w:rsidRPr="00637656">
        <w:rPr>
          <w:rFonts w:cs="Times New Roman"/>
        </w:rPr>
        <w:t xml:space="preserve">select </w:t>
      </w:r>
      <w:r w:rsidR="009E7203" w:rsidRPr="00637656">
        <w:rPr>
          <w:rFonts w:cs="Times New Roman"/>
        </w:rPr>
        <w:t xml:space="preserve">a specific plan, much the same way </w:t>
      </w:r>
      <w:r w:rsidR="00311EAF" w:rsidRPr="00637656">
        <w:rPr>
          <w:rFonts w:cs="Times New Roman"/>
        </w:rPr>
        <w:t>employers sponsor insurance today.</w:t>
      </w:r>
      <w:r w:rsidR="00D96640" w:rsidRPr="00637656">
        <w:rPr>
          <w:rFonts w:cs="Times New Roman"/>
        </w:rPr>
        <w:t xml:space="preserve"> </w:t>
      </w:r>
      <w:r w:rsidR="00BF3D24">
        <w:rPr>
          <w:rFonts w:cs="Times New Roman"/>
        </w:rPr>
        <w:t xml:space="preserve"> States which run their own E</w:t>
      </w:r>
      <w:r w:rsidR="00D96640" w:rsidRPr="00637656">
        <w:rPr>
          <w:rFonts w:cs="Times New Roman"/>
        </w:rPr>
        <w:t xml:space="preserve">xchanges have the option of </w:t>
      </w:r>
      <w:r w:rsidR="009E7203" w:rsidRPr="00637656">
        <w:rPr>
          <w:rFonts w:cs="Times New Roman"/>
        </w:rPr>
        <w:t>implement</w:t>
      </w:r>
      <w:r w:rsidR="00D96640" w:rsidRPr="00637656">
        <w:rPr>
          <w:rFonts w:cs="Times New Roman"/>
        </w:rPr>
        <w:t>ing</w:t>
      </w:r>
      <w:r w:rsidR="009E7203" w:rsidRPr="00637656">
        <w:rPr>
          <w:rFonts w:cs="Times New Roman"/>
        </w:rPr>
        <w:t xml:space="preserve"> the multi-option </w:t>
      </w:r>
      <w:r w:rsidR="00D96640" w:rsidRPr="00637656">
        <w:rPr>
          <w:rFonts w:cs="Times New Roman"/>
        </w:rPr>
        <w:t xml:space="preserve">SHOP </w:t>
      </w:r>
      <w:r w:rsidR="009E7203" w:rsidRPr="00637656">
        <w:rPr>
          <w:rFonts w:cs="Times New Roman"/>
        </w:rPr>
        <w:t>marketplaces</w:t>
      </w:r>
      <w:r w:rsidR="00D96640" w:rsidRPr="00637656">
        <w:rPr>
          <w:rFonts w:cs="Times New Roman"/>
        </w:rPr>
        <w:t xml:space="preserve"> in 2014</w:t>
      </w:r>
      <w:r w:rsidR="009E7203" w:rsidRPr="00637656">
        <w:rPr>
          <w:rFonts w:cs="Times New Roman"/>
        </w:rPr>
        <w:t xml:space="preserve">. </w:t>
      </w:r>
    </w:p>
    <w:p w:rsidR="009E7203" w:rsidRPr="00637656" w:rsidRDefault="009E7203" w:rsidP="009E7203">
      <w:pPr>
        <w:rPr>
          <w:rFonts w:cs="Times New Roman"/>
        </w:rPr>
      </w:pPr>
    </w:p>
    <w:p w:rsidR="00563731" w:rsidRDefault="009E7203">
      <w:pPr>
        <w:rPr>
          <w:rFonts w:cs="Times New Roman"/>
        </w:rPr>
      </w:pPr>
      <w:r w:rsidRPr="00637656">
        <w:rPr>
          <w:rFonts w:cs="Times New Roman"/>
        </w:rPr>
        <w:t>The SHOP enrollment period is year round, and premium subsidies will be available for some employers on the SHOP marketplace.</w:t>
      </w:r>
      <w:r w:rsidR="00BF3D24">
        <w:rPr>
          <w:rFonts w:cs="Times New Roman"/>
        </w:rPr>
        <w:t xml:space="preserve"> </w:t>
      </w:r>
      <w:r w:rsidRPr="00637656">
        <w:rPr>
          <w:rFonts w:cs="Times New Roman"/>
        </w:rPr>
        <w:t xml:space="preserve"> The subsidies scale with the size of the employer and the annual wages of their employees. </w:t>
      </w:r>
      <w:r w:rsidR="00BF3D24">
        <w:rPr>
          <w:rFonts w:cs="Times New Roman"/>
        </w:rPr>
        <w:t xml:space="preserve"> </w:t>
      </w:r>
      <w:r w:rsidRPr="00637656">
        <w:rPr>
          <w:rFonts w:cs="Times New Roman"/>
        </w:rPr>
        <w:t>Em</w:t>
      </w:r>
      <w:r w:rsidR="00BF3D24">
        <w:rPr>
          <w:rFonts w:cs="Times New Roman"/>
        </w:rPr>
        <w:t>ployers with fewer than 25 full-</w:t>
      </w:r>
      <w:r w:rsidRPr="00637656">
        <w:rPr>
          <w:rFonts w:cs="Times New Roman"/>
        </w:rPr>
        <w:t xml:space="preserve">time equivalent employees earning wages less than $50,000 on average will be eligible for </w:t>
      </w:r>
      <w:r w:rsidR="00BF3D24">
        <w:rPr>
          <w:rFonts w:cs="Times New Roman"/>
        </w:rPr>
        <w:t>federal s</w:t>
      </w:r>
      <w:r w:rsidRPr="00637656">
        <w:rPr>
          <w:rFonts w:cs="Times New Roman"/>
        </w:rPr>
        <w:t>ubsidies</w:t>
      </w:r>
      <w:r w:rsidR="00BF3D24">
        <w:rPr>
          <w:rFonts w:cs="Times New Roman"/>
        </w:rPr>
        <w:t xml:space="preserve"> to enhance the ability of small businesses to provide coverage</w:t>
      </w:r>
      <w:r w:rsidRPr="00637656">
        <w:rPr>
          <w:rFonts w:cs="Times New Roman"/>
        </w:rPr>
        <w:t xml:space="preserve">, provided they pay at least 50% of their employees’ premiums. </w:t>
      </w:r>
      <w:r w:rsidR="00BF3D24">
        <w:rPr>
          <w:rFonts w:cs="Times New Roman"/>
        </w:rPr>
        <w:t xml:space="preserve"> </w:t>
      </w:r>
      <w:r w:rsidRPr="00637656">
        <w:rPr>
          <w:rFonts w:cs="Times New Roman"/>
        </w:rPr>
        <w:t>In the first year</w:t>
      </w:r>
      <w:r w:rsidR="00BF3D24">
        <w:rPr>
          <w:rFonts w:cs="Times New Roman"/>
        </w:rPr>
        <w:t>,</w:t>
      </w:r>
      <w:r w:rsidRPr="00637656">
        <w:rPr>
          <w:rFonts w:cs="Times New Roman"/>
        </w:rPr>
        <w:t xml:space="preserve"> subsidies will cover up to</w:t>
      </w:r>
      <w:r w:rsidR="00BF3D24">
        <w:rPr>
          <w:rFonts w:cs="Times New Roman"/>
        </w:rPr>
        <w:t xml:space="preserve"> 35% of the health plans’ costs and</w:t>
      </w:r>
      <w:r w:rsidRPr="00637656">
        <w:rPr>
          <w:rFonts w:cs="Times New Roman"/>
        </w:rPr>
        <w:t xml:space="preserve"> in subsequent years</w:t>
      </w:r>
      <w:r w:rsidR="00BF3D24">
        <w:rPr>
          <w:rFonts w:cs="Times New Roman"/>
        </w:rPr>
        <w:t>,</w:t>
      </w:r>
      <w:r w:rsidRPr="00637656">
        <w:rPr>
          <w:rFonts w:cs="Times New Roman"/>
        </w:rPr>
        <w:t xml:space="preserve"> that figure will increase to as much as 50%. </w:t>
      </w:r>
    </w:p>
    <w:p w:rsidR="00392199" w:rsidRPr="00E633DB" w:rsidRDefault="004D6401">
      <w:pPr>
        <w:rPr>
          <w:rFonts w:cs="Times New Roman"/>
          <w:b/>
        </w:rPr>
      </w:pPr>
      <w:r w:rsidRPr="00637656">
        <w:rPr>
          <w:rFonts w:cs="Times New Roman"/>
          <w:b/>
          <w:u w:val="single"/>
        </w:rPr>
        <w:br/>
      </w:r>
      <w:r w:rsidR="00BF3D24">
        <w:rPr>
          <w:rFonts w:cs="Times New Roman"/>
          <w:b/>
          <w:u w:val="single"/>
        </w:rPr>
        <w:t>ACA Required Essential</w:t>
      </w:r>
      <w:r w:rsidR="006416B7" w:rsidRPr="00637656">
        <w:rPr>
          <w:rFonts w:cs="Times New Roman"/>
          <w:b/>
          <w:u w:val="single"/>
        </w:rPr>
        <w:t xml:space="preserve"> Benefits Package</w:t>
      </w:r>
    </w:p>
    <w:p w:rsidR="00392199" w:rsidRPr="00637656" w:rsidRDefault="00392199">
      <w:pPr>
        <w:rPr>
          <w:rFonts w:cs="Times New Roman"/>
        </w:rPr>
      </w:pPr>
    </w:p>
    <w:p w:rsidR="00B85C01" w:rsidRPr="00637656" w:rsidRDefault="00A9617D">
      <w:pPr>
        <w:rPr>
          <w:rFonts w:cs="Times New Roman"/>
        </w:rPr>
      </w:pPr>
      <w:r w:rsidRPr="00637656">
        <w:rPr>
          <w:rFonts w:cs="Times New Roman"/>
        </w:rPr>
        <w:t>The ACA</w:t>
      </w:r>
      <w:r w:rsidR="00392199" w:rsidRPr="00637656">
        <w:rPr>
          <w:rFonts w:cs="Times New Roman"/>
        </w:rPr>
        <w:t xml:space="preserve"> requires that all non-grandfathered individual and small group health insurance plans</w:t>
      </w:r>
      <w:r w:rsidR="00AE5433" w:rsidRPr="00637656">
        <w:rPr>
          <w:rFonts w:cs="Times New Roman"/>
        </w:rPr>
        <w:t>, as well as Medicaid benchmark and benchmark-equivalent plans,</w:t>
      </w:r>
      <w:r w:rsidR="00392199" w:rsidRPr="00637656">
        <w:rPr>
          <w:rFonts w:cs="Times New Roman"/>
        </w:rPr>
        <w:t xml:space="preserve"> cover essential health benefits (</w:t>
      </w:r>
      <w:r w:rsidR="00BF3D24">
        <w:rPr>
          <w:rFonts w:cs="Times New Roman"/>
        </w:rPr>
        <w:t>“</w:t>
      </w:r>
      <w:r w:rsidR="00392199" w:rsidRPr="00637656">
        <w:rPr>
          <w:rFonts w:cs="Times New Roman"/>
        </w:rPr>
        <w:t>EHBs</w:t>
      </w:r>
      <w:r w:rsidR="00BF3D24">
        <w:rPr>
          <w:rFonts w:cs="Times New Roman"/>
        </w:rPr>
        <w:t>”</w:t>
      </w:r>
      <w:r w:rsidR="00392199" w:rsidRPr="00637656">
        <w:rPr>
          <w:rFonts w:cs="Times New Roman"/>
        </w:rPr>
        <w:t xml:space="preserve">).  </w:t>
      </w:r>
      <w:r w:rsidR="00BF3D24">
        <w:rPr>
          <w:rFonts w:cs="Times New Roman"/>
        </w:rPr>
        <w:t>Therefore,</w:t>
      </w:r>
      <w:r w:rsidR="00B85C01" w:rsidRPr="00637656">
        <w:rPr>
          <w:rFonts w:cs="Times New Roman"/>
        </w:rPr>
        <w:t xml:space="preserve"> new small employer and individual plans must cover</w:t>
      </w:r>
      <w:r w:rsidR="00BF3D24">
        <w:rPr>
          <w:rFonts w:cs="Times New Roman"/>
        </w:rPr>
        <w:t xml:space="preserve"> EHBs regardless of whether these plans</w:t>
      </w:r>
      <w:r w:rsidR="00B85C01" w:rsidRPr="00637656">
        <w:rPr>
          <w:rFonts w:cs="Times New Roman"/>
        </w:rPr>
        <w:t xml:space="preserve"> are offered on an Exchange. </w:t>
      </w:r>
    </w:p>
    <w:p w:rsidR="00B85C01" w:rsidRPr="00637656" w:rsidRDefault="00B85C01">
      <w:pPr>
        <w:rPr>
          <w:rFonts w:cs="Times New Roman"/>
        </w:rPr>
      </w:pPr>
    </w:p>
    <w:p w:rsidR="00135BF2" w:rsidRPr="00FD24BA" w:rsidRDefault="00392199" w:rsidP="005E3FFB">
      <w:pPr>
        <w:rPr>
          <w:rFonts w:cs="Times New Roman"/>
        </w:rPr>
      </w:pPr>
      <w:r w:rsidRPr="00637656">
        <w:rPr>
          <w:rFonts w:cs="Times New Roman"/>
        </w:rPr>
        <w:t>There are ten categories of ben</w:t>
      </w:r>
      <w:r w:rsidR="00135BF2" w:rsidRPr="00637656">
        <w:rPr>
          <w:rFonts w:cs="Times New Roman"/>
        </w:rPr>
        <w:t>efits that are considered EHBs</w:t>
      </w:r>
      <w:r w:rsidR="00B85C01" w:rsidRPr="00637656">
        <w:rPr>
          <w:rFonts w:cs="Times New Roman"/>
        </w:rPr>
        <w:t xml:space="preserve"> and each state has a benchmark plan which covers some benefits within each category. </w:t>
      </w:r>
      <w:r w:rsidR="00BF3D24">
        <w:rPr>
          <w:rFonts w:cs="Times New Roman"/>
        </w:rPr>
        <w:t xml:space="preserve"> </w:t>
      </w:r>
      <w:r w:rsidR="005911AD">
        <w:rPr>
          <w:rFonts w:cs="Times New Roman"/>
        </w:rPr>
        <w:t xml:space="preserve">These categories include ambulatory patient services, emergency services, hospitalization, prescription drugs, rehabilitation and habilitation services and devices, chronic care management, behavior health care, maternity and newborn care, pediatric care and other benefits.  </w:t>
      </w:r>
      <w:r w:rsidR="00BF3D24">
        <w:rPr>
          <w:rFonts w:cs="Times New Roman"/>
        </w:rPr>
        <w:t>All health plans that are sold on the Exchanges must be certified as “Qualified Health P</w:t>
      </w:r>
      <w:r w:rsidR="00B85C01" w:rsidRPr="00637656">
        <w:rPr>
          <w:rFonts w:cs="Times New Roman"/>
        </w:rPr>
        <w:t>lans</w:t>
      </w:r>
      <w:r w:rsidR="00BF3D24">
        <w:rPr>
          <w:rFonts w:cs="Times New Roman"/>
        </w:rPr>
        <w:t>” or “</w:t>
      </w:r>
      <w:r w:rsidR="00B85C01" w:rsidRPr="00637656">
        <w:rPr>
          <w:rFonts w:cs="Times New Roman"/>
        </w:rPr>
        <w:t>QHPs</w:t>
      </w:r>
      <w:r w:rsidR="00BF3D24">
        <w:rPr>
          <w:rFonts w:cs="Times New Roman"/>
        </w:rPr>
        <w:t>.”</w:t>
      </w:r>
      <w:r w:rsidR="00B85C01" w:rsidRPr="00637656">
        <w:rPr>
          <w:rFonts w:cs="Times New Roman"/>
        </w:rPr>
        <w:t xml:space="preserve"> </w:t>
      </w:r>
      <w:r w:rsidR="00BF3D24">
        <w:rPr>
          <w:rFonts w:cs="Times New Roman"/>
        </w:rPr>
        <w:t xml:space="preserve"> T</w:t>
      </w:r>
      <w:r w:rsidR="00EE6FF2">
        <w:rPr>
          <w:rFonts w:cs="Times New Roman"/>
        </w:rPr>
        <w:t xml:space="preserve">hese plans </w:t>
      </w:r>
      <w:r w:rsidR="00336FAA" w:rsidRPr="00637656">
        <w:rPr>
          <w:rFonts w:cs="Times New Roman"/>
        </w:rPr>
        <w:t xml:space="preserve">must cover substantially equal benefits to the benchmark plan in that state. </w:t>
      </w:r>
      <w:r w:rsidR="00EE6FF2">
        <w:rPr>
          <w:rFonts w:cs="Times New Roman"/>
        </w:rPr>
        <w:t xml:space="preserve"> </w:t>
      </w:r>
      <w:r w:rsidR="00336FAA" w:rsidRPr="00637656">
        <w:rPr>
          <w:rFonts w:cs="Times New Roman"/>
        </w:rPr>
        <w:t>It is important for consumers to look carefully at the types of benefits covered within the categories, as there will be some variation between plans</w:t>
      </w:r>
      <w:r w:rsidR="00EE6FF2">
        <w:rPr>
          <w:rFonts w:cs="Times New Roman"/>
        </w:rPr>
        <w:t xml:space="preserve"> even within the same state</w:t>
      </w:r>
      <w:r w:rsidR="00336FAA" w:rsidRPr="00637656">
        <w:rPr>
          <w:rFonts w:cs="Times New Roman"/>
        </w:rPr>
        <w:t xml:space="preserve">. </w:t>
      </w:r>
      <w:r w:rsidR="00EE6FF2">
        <w:rPr>
          <w:rFonts w:cs="Times New Roman"/>
        </w:rPr>
        <w:t xml:space="preserve"> </w:t>
      </w:r>
      <w:r w:rsidR="0050493E" w:rsidRPr="00637656">
        <w:rPr>
          <w:rFonts w:cs="Times New Roman"/>
        </w:rPr>
        <w:t xml:space="preserve">States and the FFE have identified “navigators” in the community who can assist consumers with comparing and purchasing plans. </w:t>
      </w:r>
      <w:r w:rsidR="00EE6FF2">
        <w:rPr>
          <w:rFonts w:cs="Times New Roman"/>
        </w:rPr>
        <w:t xml:space="preserve"> </w:t>
      </w:r>
      <w:r w:rsidR="0050493E" w:rsidRPr="00637656">
        <w:rPr>
          <w:rFonts w:cs="Times New Roman"/>
        </w:rPr>
        <w:t xml:space="preserve">These navigators are independent of insurance plans, and are not allowed to accept payment from consumers or insurance plans. </w:t>
      </w:r>
    </w:p>
    <w:p w:rsidR="005E3FFB" w:rsidRPr="00637656" w:rsidRDefault="004D6401" w:rsidP="005E3FFB">
      <w:pPr>
        <w:rPr>
          <w:rFonts w:cs="Times New Roman"/>
        </w:rPr>
      </w:pPr>
      <w:r w:rsidRPr="00637656">
        <w:rPr>
          <w:rFonts w:cs="Times New Roman"/>
          <w:b/>
          <w:u w:val="single"/>
        </w:rPr>
        <w:br/>
      </w:r>
      <w:r w:rsidR="0050493E" w:rsidRPr="00637656">
        <w:rPr>
          <w:rFonts w:cs="Times New Roman"/>
          <w:b/>
          <w:u w:val="single"/>
        </w:rPr>
        <w:t xml:space="preserve">State </w:t>
      </w:r>
      <w:r w:rsidR="005E3FFB" w:rsidRPr="00637656">
        <w:rPr>
          <w:rFonts w:cs="Times New Roman"/>
          <w:b/>
          <w:u w:val="single"/>
        </w:rPr>
        <w:t>Medicaid Expansion Activity</w:t>
      </w:r>
    </w:p>
    <w:p w:rsidR="005E3FFB" w:rsidRPr="00637656" w:rsidRDefault="005E3FFB" w:rsidP="005E3FFB">
      <w:pPr>
        <w:rPr>
          <w:rFonts w:cs="Times New Roman"/>
        </w:rPr>
      </w:pPr>
    </w:p>
    <w:p w:rsidR="008D7562" w:rsidRPr="00637656" w:rsidRDefault="00EE6FF2" w:rsidP="005E3FFB">
      <w:pPr>
        <w:rPr>
          <w:rFonts w:cs="Times New Roman"/>
        </w:rPr>
      </w:pPr>
      <w:r>
        <w:rPr>
          <w:rFonts w:cs="Times New Roman"/>
        </w:rPr>
        <w:t xml:space="preserve">Starting on </w:t>
      </w:r>
      <w:r w:rsidR="00CB2D23" w:rsidRPr="00637656">
        <w:rPr>
          <w:rFonts w:cs="Times New Roman"/>
        </w:rPr>
        <w:t>January 1, 2014, states have the option of expanding</w:t>
      </w:r>
      <w:r w:rsidR="005E3FFB" w:rsidRPr="00637656">
        <w:rPr>
          <w:rFonts w:cs="Times New Roman"/>
        </w:rPr>
        <w:t xml:space="preserve"> Medicaid eligibility to all </w:t>
      </w:r>
      <w:r w:rsidR="00A2590C" w:rsidRPr="00637656">
        <w:rPr>
          <w:rFonts w:cs="Times New Roman"/>
        </w:rPr>
        <w:t xml:space="preserve">adults </w:t>
      </w:r>
      <w:r w:rsidR="005E3FFB" w:rsidRPr="00637656">
        <w:rPr>
          <w:rFonts w:cs="Times New Roman"/>
        </w:rPr>
        <w:t xml:space="preserve">below 133 percent of the </w:t>
      </w:r>
      <w:r>
        <w:rPr>
          <w:rFonts w:cs="Times New Roman"/>
        </w:rPr>
        <w:t>FPL</w:t>
      </w:r>
      <w:r w:rsidR="005E3FFB" w:rsidRPr="00637656">
        <w:rPr>
          <w:rFonts w:cs="Times New Roman"/>
        </w:rPr>
        <w:t>.</w:t>
      </w:r>
      <w:r w:rsidR="00A2590C" w:rsidRPr="00637656">
        <w:rPr>
          <w:rFonts w:cs="Times New Roman"/>
        </w:rPr>
        <w:t xml:space="preserve"> </w:t>
      </w:r>
      <w:r w:rsidR="00CB2D23" w:rsidRPr="00637656">
        <w:rPr>
          <w:rFonts w:cs="Times New Roman"/>
        </w:rPr>
        <w:t xml:space="preserve"> </w:t>
      </w:r>
      <w:r>
        <w:rPr>
          <w:rFonts w:cs="Times New Roman"/>
        </w:rPr>
        <w:t xml:space="preserve">The enrollment period is not time limited but is ongoing.  </w:t>
      </w:r>
      <w:r w:rsidR="005E3FFB" w:rsidRPr="00637656">
        <w:rPr>
          <w:rFonts w:cs="Times New Roman"/>
        </w:rPr>
        <w:t>The federal government fund</w:t>
      </w:r>
      <w:r w:rsidR="008D7562" w:rsidRPr="00637656">
        <w:rPr>
          <w:rFonts w:cs="Times New Roman"/>
        </w:rPr>
        <w:t>s</w:t>
      </w:r>
      <w:r w:rsidR="005E3FFB" w:rsidRPr="00637656">
        <w:rPr>
          <w:rFonts w:cs="Times New Roman"/>
        </w:rPr>
        <w:t xml:space="preserve"> the entire cost of the newly eligible population for three years, and this funding remain</w:t>
      </w:r>
      <w:r w:rsidR="008D7562" w:rsidRPr="00637656">
        <w:rPr>
          <w:rFonts w:cs="Times New Roman"/>
        </w:rPr>
        <w:t>s</w:t>
      </w:r>
      <w:r w:rsidR="005E3FFB" w:rsidRPr="00637656">
        <w:rPr>
          <w:rFonts w:cs="Times New Roman"/>
        </w:rPr>
        <w:t xml:space="preserve"> at 90 percent </w:t>
      </w:r>
      <w:r>
        <w:rPr>
          <w:rFonts w:cs="Times New Roman"/>
        </w:rPr>
        <w:t xml:space="preserve">(while the state matches those funds with 10% funding) in later years, </w:t>
      </w:r>
      <w:r w:rsidR="008D7562" w:rsidRPr="00637656">
        <w:rPr>
          <w:rFonts w:cs="Times New Roman"/>
        </w:rPr>
        <w:t>unless Congress passes a</w:t>
      </w:r>
      <w:r>
        <w:rPr>
          <w:rFonts w:cs="Times New Roman"/>
        </w:rPr>
        <w:t>nother</w:t>
      </w:r>
      <w:r w:rsidR="008D7562" w:rsidRPr="00637656">
        <w:rPr>
          <w:rFonts w:cs="Times New Roman"/>
        </w:rPr>
        <w:t xml:space="preserve"> law to lower the federal contribution</w:t>
      </w:r>
      <w:r w:rsidR="005E3FFB" w:rsidRPr="00637656">
        <w:rPr>
          <w:rFonts w:cs="Times New Roman"/>
        </w:rPr>
        <w:t>.</w:t>
      </w:r>
    </w:p>
    <w:p w:rsidR="006A3C34" w:rsidRPr="00637656" w:rsidRDefault="005E3FFB" w:rsidP="005E3FFB">
      <w:pPr>
        <w:rPr>
          <w:rFonts w:cs="Times New Roman"/>
        </w:rPr>
      </w:pPr>
      <w:r w:rsidRPr="00637656">
        <w:rPr>
          <w:rFonts w:cs="Times New Roman"/>
        </w:rPr>
        <w:t xml:space="preserve"> </w:t>
      </w:r>
      <w:r w:rsidR="007E51F9" w:rsidRPr="00637656">
        <w:rPr>
          <w:rFonts w:cs="Times New Roman"/>
        </w:rPr>
        <w:br/>
      </w:r>
      <w:r w:rsidR="00276807" w:rsidRPr="00637656">
        <w:rPr>
          <w:rFonts w:cs="Times New Roman"/>
        </w:rPr>
        <w:t xml:space="preserve">In states which expand Medicaid, </w:t>
      </w:r>
      <w:r w:rsidR="00690B03" w:rsidRPr="00637656">
        <w:rPr>
          <w:rFonts w:cs="Times New Roman"/>
        </w:rPr>
        <w:t xml:space="preserve">newly eligible individuals will have access to Alternative Benefit Plans </w:t>
      </w:r>
      <w:r w:rsidR="00EE6FF2">
        <w:rPr>
          <w:rFonts w:cs="Times New Roman"/>
        </w:rPr>
        <w:t xml:space="preserve">(“ABPs”) </w:t>
      </w:r>
      <w:r w:rsidR="00690B03" w:rsidRPr="00637656">
        <w:rPr>
          <w:rFonts w:cs="Times New Roman"/>
        </w:rPr>
        <w:t xml:space="preserve">which must cover </w:t>
      </w:r>
      <w:r w:rsidR="00EE6FF2">
        <w:rPr>
          <w:rFonts w:cs="Times New Roman"/>
        </w:rPr>
        <w:t>essential health benefits</w:t>
      </w:r>
      <w:r w:rsidR="00690B03" w:rsidRPr="00637656">
        <w:rPr>
          <w:rFonts w:cs="Times New Roman"/>
        </w:rPr>
        <w:t xml:space="preserve">. </w:t>
      </w:r>
      <w:r w:rsidR="00EE6FF2">
        <w:rPr>
          <w:rFonts w:cs="Times New Roman"/>
        </w:rPr>
        <w:t xml:space="preserve"> </w:t>
      </w:r>
      <w:r w:rsidR="00690B03" w:rsidRPr="00637656">
        <w:rPr>
          <w:rFonts w:cs="Times New Roman"/>
        </w:rPr>
        <w:t xml:space="preserve">Individuals who are medically frail (i.e. have serious disabilities or chronic conditions) will have a choice of the standard Medicaid plan in their state or an ABP. </w:t>
      </w:r>
      <w:r w:rsidR="00EE6FF2">
        <w:rPr>
          <w:rFonts w:cs="Times New Roman"/>
        </w:rPr>
        <w:t xml:space="preserve"> </w:t>
      </w:r>
      <w:r w:rsidR="00690B03" w:rsidRPr="00637656">
        <w:rPr>
          <w:rFonts w:cs="Times New Roman"/>
        </w:rPr>
        <w:t xml:space="preserve">States can use existing benchmark and benchmark equivalent plan authority to develop ABPs to target a specific population. </w:t>
      </w:r>
      <w:r w:rsidR="00EE6FF2">
        <w:rPr>
          <w:rFonts w:cs="Times New Roman"/>
        </w:rPr>
        <w:t xml:space="preserve"> </w:t>
      </w:r>
      <w:r w:rsidR="000F20FA" w:rsidRPr="00637656">
        <w:rPr>
          <w:rFonts w:cs="Times New Roman"/>
        </w:rPr>
        <w:t>States are also contemplating using existing authority to pay the premiums for Medicaid eligible populations to purchase health insurance on the Exchanges</w:t>
      </w:r>
      <w:r w:rsidR="00EE6FF2">
        <w:rPr>
          <w:rFonts w:cs="Times New Roman"/>
        </w:rPr>
        <w:t>, assuming HHS approves of these proposals</w:t>
      </w:r>
      <w:r w:rsidR="000F20FA" w:rsidRPr="00637656">
        <w:rPr>
          <w:rFonts w:cs="Times New Roman"/>
        </w:rPr>
        <w:t xml:space="preserve">. </w:t>
      </w:r>
      <w:r w:rsidR="00EE6FF2">
        <w:rPr>
          <w:rFonts w:cs="Times New Roman"/>
        </w:rPr>
        <w:t xml:space="preserve"> The fact that approximately half the states will not expand their Medicaid programs—at least initially—will cause significant inequities across the states impacting those who can least afford health coverage.</w:t>
      </w:r>
      <w:r w:rsidR="00FD24BA">
        <w:rPr>
          <w:rFonts w:cs="Times New Roman"/>
        </w:rPr>
        <w:br/>
      </w:r>
    </w:p>
    <w:p w:rsidR="007E51F9" w:rsidRPr="00637656" w:rsidRDefault="007E51F9" w:rsidP="005E3FFB">
      <w:pPr>
        <w:rPr>
          <w:rFonts w:cs="Times New Roman"/>
        </w:rPr>
      </w:pPr>
      <w:r w:rsidRPr="00637656">
        <w:rPr>
          <w:rFonts w:cs="Times New Roman"/>
          <w:noProof/>
        </w:rPr>
        <w:drawing>
          <wp:inline distT="0" distB="0" distL="0" distR="0">
            <wp:extent cx="6029325" cy="4255957"/>
            <wp:effectExtent l="19050" t="0" r="9525" b="0"/>
            <wp:docPr id="3" name="Picture 2" descr="Medicaid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caidTable.png"/>
                    <pic:cNvPicPr/>
                  </pic:nvPicPr>
                  <pic:blipFill>
                    <a:blip r:embed="rId12"/>
                    <a:stretch>
                      <a:fillRect/>
                    </a:stretch>
                  </pic:blipFill>
                  <pic:spPr>
                    <a:xfrm>
                      <a:off x="0" y="0"/>
                      <a:ext cx="6029168" cy="4255846"/>
                    </a:xfrm>
                    <a:prstGeom prst="rect">
                      <a:avLst/>
                    </a:prstGeom>
                  </pic:spPr>
                </pic:pic>
              </a:graphicData>
            </a:graphic>
          </wp:inline>
        </w:drawing>
      </w:r>
    </w:p>
    <w:p w:rsidR="00AB2AF3" w:rsidRPr="00637656" w:rsidRDefault="00AB2AF3" w:rsidP="005E3FFB">
      <w:pPr>
        <w:rPr>
          <w:rFonts w:cs="Times New Roman"/>
          <w:sz w:val="20"/>
          <w:szCs w:val="20"/>
        </w:rPr>
      </w:pPr>
    </w:p>
    <w:p w:rsidR="00AB2AF3" w:rsidRPr="00637656" w:rsidRDefault="00AB2AF3" w:rsidP="005E3FFB">
      <w:pPr>
        <w:rPr>
          <w:rFonts w:cs="Times New Roman"/>
          <w:sz w:val="20"/>
          <w:szCs w:val="20"/>
        </w:rPr>
      </w:pPr>
    </w:p>
    <w:p w:rsidR="005E3FFB" w:rsidRPr="00637656" w:rsidRDefault="007E51F9" w:rsidP="005E3FFB">
      <w:pPr>
        <w:rPr>
          <w:rFonts w:cs="Times New Roman"/>
          <w:sz w:val="20"/>
          <w:szCs w:val="20"/>
        </w:rPr>
      </w:pPr>
      <w:r w:rsidRPr="00637656">
        <w:rPr>
          <w:rFonts w:cs="Times New Roman"/>
          <w:sz w:val="20"/>
          <w:szCs w:val="20"/>
        </w:rPr>
        <w:t xml:space="preserve">26 </w:t>
      </w:r>
      <w:r w:rsidR="005E3FFB" w:rsidRPr="00637656">
        <w:rPr>
          <w:rFonts w:cs="Times New Roman"/>
          <w:sz w:val="20"/>
          <w:szCs w:val="20"/>
        </w:rPr>
        <w:t>states</w:t>
      </w:r>
      <w:r w:rsidRPr="00637656">
        <w:rPr>
          <w:rFonts w:cs="Times New Roman"/>
          <w:sz w:val="20"/>
          <w:szCs w:val="20"/>
        </w:rPr>
        <w:t xml:space="preserve"> and DC </w:t>
      </w:r>
      <w:r w:rsidR="005E3FFB" w:rsidRPr="00637656">
        <w:rPr>
          <w:rFonts w:cs="Times New Roman"/>
          <w:sz w:val="20"/>
          <w:szCs w:val="20"/>
        </w:rPr>
        <w:t>expanding Medicaid</w:t>
      </w:r>
      <w:r w:rsidRPr="00637656">
        <w:rPr>
          <w:rFonts w:cs="Times New Roman"/>
          <w:sz w:val="20"/>
          <w:szCs w:val="20"/>
        </w:rPr>
        <w:t xml:space="preserve"> in 2014;</w:t>
      </w:r>
      <w:r w:rsidR="005E3FFB" w:rsidRPr="00637656">
        <w:rPr>
          <w:rFonts w:cs="Times New Roman"/>
          <w:sz w:val="20"/>
          <w:szCs w:val="20"/>
        </w:rPr>
        <w:t xml:space="preserve"> </w:t>
      </w:r>
      <w:r w:rsidRPr="00637656">
        <w:rPr>
          <w:rFonts w:cs="Times New Roman"/>
          <w:sz w:val="20"/>
          <w:szCs w:val="20"/>
        </w:rPr>
        <w:t>22 not expanding yet; 3 debate ongoing</w:t>
      </w:r>
    </w:p>
    <w:p w:rsidR="00FD24BA" w:rsidRDefault="00CD128A" w:rsidP="005E3FFB">
      <w:hyperlink r:id="rId13" w:anchor="map" w:history="1">
        <w:r w:rsidR="007E51F9" w:rsidRPr="00637656">
          <w:rPr>
            <w:rStyle w:val="Hyperlink"/>
            <w:rFonts w:cs="Times New Roman"/>
            <w:sz w:val="20"/>
            <w:szCs w:val="20"/>
          </w:rPr>
          <w:t>Table courtesy of Kaiser Family Foundation</w:t>
        </w:r>
      </w:hyperlink>
    </w:p>
    <w:p w:rsidR="00FD24BA" w:rsidRDefault="00FD24BA" w:rsidP="005E3FFB">
      <w:pPr>
        <w:rPr>
          <w:szCs w:val="24"/>
        </w:rPr>
      </w:pPr>
    </w:p>
    <w:p w:rsidR="00742FF5" w:rsidRPr="00FD24BA" w:rsidRDefault="00742FF5" w:rsidP="005E3FFB">
      <w:r>
        <w:rPr>
          <w:b/>
          <w:szCs w:val="24"/>
          <w:u w:val="single"/>
        </w:rPr>
        <w:t>Useful Links</w:t>
      </w:r>
    </w:p>
    <w:p w:rsidR="00742FF5" w:rsidRDefault="00742FF5" w:rsidP="005E3FFB">
      <w:pPr>
        <w:rPr>
          <w:b/>
          <w:szCs w:val="24"/>
          <w:u w:val="single"/>
        </w:rPr>
      </w:pPr>
    </w:p>
    <w:p w:rsidR="00742FF5" w:rsidRDefault="00742FF5" w:rsidP="005E3FFB">
      <w:pPr>
        <w:rPr>
          <w:szCs w:val="24"/>
        </w:rPr>
      </w:pPr>
      <w:r>
        <w:rPr>
          <w:szCs w:val="24"/>
        </w:rPr>
        <w:t xml:space="preserve">Information on the exchanges: </w:t>
      </w:r>
      <w:hyperlink r:id="rId14" w:history="1">
        <w:r w:rsidRPr="00BA39E6">
          <w:rPr>
            <w:rStyle w:val="Hyperlink"/>
            <w:szCs w:val="24"/>
          </w:rPr>
          <w:t>https://www.healthcare.gov/get-covered-a-1-page-guide-to-the-health-insurance-marketplace/</w:t>
        </w:r>
      </w:hyperlink>
    </w:p>
    <w:p w:rsidR="00742FF5" w:rsidRDefault="00742FF5" w:rsidP="005E3FFB">
      <w:pPr>
        <w:rPr>
          <w:szCs w:val="24"/>
        </w:rPr>
      </w:pPr>
    </w:p>
    <w:p w:rsidR="00742FF5" w:rsidRDefault="007D5577" w:rsidP="005E3FFB">
      <w:pPr>
        <w:rPr>
          <w:szCs w:val="24"/>
        </w:rPr>
      </w:pPr>
      <w:r>
        <w:rPr>
          <w:szCs w:val="24"/>
        </w:rPr>
        <w:t xml:space="preserve">CMS FAQ: </w:t>
      </w:r>
      <w:hyperlink r:id="rId15" w:history="1">
        <w:r w:rsidRPr="00BA39E6">
          <w:rPr>
            <w:rStyle w:val="Hyperlink"/>
            <w:szCs w:val="24"/>
          </w:rPr>
          <w:t>http://www.cms.gov/CCIIO/Resources/Fact-Sheets-and-FAQs/</w:t>
        </w:r>
      </w:hyperlink>
    </w:p>
    <w:p w:rsidR="007D5577" w:rsidRDefault="007D5577" w:rsidP="005E3FFB">
      <w:pPr>
        <w:rPr>
          <w:szCs w:val="24"/>
        </w:rPr>
      </w:pPr>
    </w:p>
    <w:p w:rsidR="006E3CA4" w:rsidRDefault="007D5577" w:rsidP="005E3FFB">
      <w:pPr>
        <w:rPr>
          <w:szCs w:val="24"/>
        </w:rPr>
      </w:pPr>
      <w:r>
        <w:rPr>
          <w:szCs w:val="24"/>
        </w:rPr>
        <w:t xml:space="preserve">HHS ACA information: </w:t>
      </w:r>
      <w:hyperlink r:id="rId16" w:history="1">
        <w:r w:rsidRPr="00BA39E6">
          <w:rPr>
            <w:rStyle w:val="Hyperlink"/>
            <w:szCs w:val="24"/>
          </w:rPr>
          <w:t>http://www.hhs.gov/healthcare/rights/index.html</w:t>
        </w:r>
      </w:hyperlink>
    </w:p>
    <w:p w:rsidR="00B9662B" w:rsidRPr="006E3CA4" w:rsidRDefault="00591089" w:rsidP="005E3FFB">
      <w:pPr>
        <w:rPr>
          <w:szCs w:val="24"/>
        </w:rPr>
      </w:pPr>
      <w:r w:rsidRPr="00637656">
        <w:rPr>
          <w:rFonts w:cs="Times New Roman"/>
          <w:i/>
        </w:rPr>
        <w:t xml:space="preserve">Update written by: </w:t>
      </w:r>
      <w:r w:rsidR="00D728E0">
        <w:rPr>
          <w:rFonts w:cs="Times New Roman"/>
          <w:i/>
        </w:rPr>
        <w:t>Peter Thomas</w:t>
      </w:r>
      <w:r w:rsidRPr="00637656">
        <w:rPr>
          <w:rFonts w:cs="Times New Roman"/>
          <w:i/>
        </w:rPr>
        <w:t xml:space="preserve">, </w:t>
      </w:r>
      <w:r w:rsidR="00501422" w:rsidRPr="00637656">
        <w:rPr>
          <w:rFonts w:cs="Times New Roman"/>
          <w:i/>
        </w:rPr>
        <w:t xml:space="preserve">Principal; </w:t>
      </w:r>
      <w:r w:rsidRPr="00637656">
        <w:rPr>
          <w:rFonts w:cs="Times New Roman"/>
          <w:i/>
        </w:rPr>
        <w:t>Theresa Morgan</w:t>
      </w:r>
      <w:r w:rsidR="00501422" w:rsidRPr="00637656">
        <w:rPr>
          <w:rFonts w:cs="Times New Roman"/>
          <w:i/>
        </w:rPr>
        <w:t>, Legislative Director</w:t>
      </w:r>
      <w:r w:rsidRPr="00637656">
        <w:rPr>
          <w:rFonts w:cs="Times New Roman"/>
          <w:i/>
        </w:rPr>
        <w:t xml:space="preserve"> and </w:t>
      </w:r>
      <w:r w:rsidR="007C5B40" w:rsidRPr="00637656">
        <w:rPr>
          <w:rFonts w:cs="Times New Roman"/>
          <w:i/>
        </w:rPr>
        <w:t>Robert Marshall</w:t>
      </w:r>
      <w:r w:rsidR="00501422" w:rsidRPr="00637656">
        <w:rPr>
          <w:rFonts w:cs="Times New Roman"/>
          <w:i/>
        </w:rPr>
        <w:t>, Legislative Intern; Powers, Pyles, Sutter &amp; Verville (POWERS)</w:t>
      </w:r>
      <w:r w:rsidR="00B9662B" w:rsidRPr="00637656">
        <w:rPr>
          <w:rFonts w:cs="Times New Roman"/>
          <w:i/>
        </w:rPr>
        <w:t xml:space="preserve">, PC   </w:t>
      </w:r>
    </w:p>
    <w:p w:rsidR="00B9662B" w:rsidRPr="00637656" w:rsidRDefault="00B9662B" w:rsidP="005E3FFB">
      <w:pPr>
        <w:rPr>
          <w:rFonts w:cs="Times New Roman"/>
          <w:i/>
        </w:rPr>
      </w:pPr>
    </w:p>
    <w:p w:rsidR="00591089" w:rsidRPr="00637656" w:rsidRDefault="005911AD" w:rsidP="005E3FFB">
      <w:pPr>
        <w:rPr>
          <w:rFonts w:cs="Times New Roman"/>
          <w:i/>
        </w:rPr>
      </w:pPr>
      <w:r>
        <w:rPr>
          <w:rFonts w:cs="Times New Roman"/>
          <w:i/>
        </w:rPr>
        <w:t>This update and analysis was written by Peter Thomas, Jim Pyles, Theresa Morgan, Sara Rosta, and Robert Marshall.  For more information about</w:t>
      </w:r>
      <w:r w:rsidR="00B9662B" w:rsidRPr="00637656">
        <w:rPr>
          <w:rFonts w:cs="Times New Roman"/>
          <w:i/>
        </w:rPr>
        <w:t xml:space="preserve"> POWERS health care reform updates, please email: </w:t>
      </w:r>
      <w:hyperlink r:id="rId17" w:history="1">
        <w:r w:rsidR="00B9662B" w:rsidRPr="00637656">
          <w:rPr>
            <w:rStyle w:val="Hyperlink"/>
            <w:rFonts w:cs="Times New Roman"/>
            <w:i/>
          </w:rPr>
          <w:t>Theresa.Morgan@ppsv.com</w:t>
        </w:r>
      </w:hyperlink>
    </w:p>
    <w:p w:rsidR="00B9662B" w:rsidRPr="00637656" w:rsidRDefault="00B9662B" w:rsidP="005E3FFB">
      <w:pPr>
        <w:rPr>
          <w:rFonts w:cs="Times New Roman"/>
          <w:i/>
        </w:rPr>
      </w:pPr>
    </w:p>
    <w:sectPr w:rsidR="00B9662B" w:rsidRPr="00637656" w:rsidSect="006E3CA4">
      <w:headerReference w:type="even" r:id="rId18"/>
      <w:headerReference w:type="default" r:id="rId19"/>
      <w:footerReference w:type="even" r:id="rId20"/>
      <w:footerReference w:type="default" r:id="rId21"/>
      <w:headerReference w:type="first" r:id="rId22"/>
      <w:footerReference w:type="first" r:id="rId23"/>
      <w:pgSz w:w="12240" w:h="15840"/>
      <w:pgMar w:top="1440" w:right="1170" w:bottom="1440" w:left="1440" w:header="144" w:footer="14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3E9" w:rsidRDefault="000033E9" w:rsidP="00D34829">
      <w:r>
        <w:separator/>
      </w:r>
    </w:p>
  </w:endnote>
  <w:endnote w:type="continuationSeparator" w:id="0">
    <w:p w:rsidR="000033E9" w:rsidRDefault="000033E9" w:rsidP="00D348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24" w:rsidRDefault="00BF3D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24" w:rsidRDefault="00BF3D24">
    <w:pPr>
      <w:pStyle w:val="Footer"/>
      <w:jc w:val="center"/>
    </w:pPr>
  </w:p>
  <w:sdt>
    <w:sdtPr>
      <w:id w:val="758120009"/>
      <w:docPartObj>
        <w:docPartGallery w:val="Page Numbers (Bottom of Page)"/>
        <w:docPartUnique/>
      </w:docPartObj>
    </w:sdtPr>
    <w:sdtContent>
      <w:p w:rsidR="00BF3D24" w:rsidRPr="00947FFA" w:rsidRDefault="00BF3D24">
        <w:pPr>
          <w:pStyle w:val="Footer"/>
          <w:jc w:val="center"/>
          <w:rPr>
            <w:noProof/>
          </w:rPr>
        </w:pPr>
        <w:fldSimple w:instr=" PAGE   \* MERGEFORMAT ">
          <w:r w:rsidR="005911AD">
            <w:rPr>
              <w:noProof/>
            </w:rPr>
            <w:t>2</w:t>
          </w:r>
        </w:fldSimple>
      </w:p>
      <w:p w:rsidR="00BF3D24" w:rsidRPr="00947FFA" w:rsidRDefault="00BF3D24">
        <w:pPr>
          <w:pStyle w:val="Footer"/>
          <w:jc w:val="center"/>
        </w:pPr>
      </w:p>
    </w:sdtContent>
  </w:sdt>
  <w:p w:rsidR="00BF3D24" w:rsidRPr="00947FFA" w:rsidRDefault="00BF3D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24" w:rsidRDefault="00BF3D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3E9" w:rsidRDefault="000033E9" w:rsidP="00D34829">
      <w:pPr>
        <w:rPr>
          <w:noProof/>
        </w:rPr>
      </w:pPr>
      <w:r>
        <w:rPr>
          <w:noProof/>
        </w:rPr>
        <w:separator/>
      </w:r>
    </w:p>
  </w:footnote>
  <w:footnote w:type="continuationSeparator" w:id="0">
    <w:p w:rsidR="000033E9" w:rsidRDefault="000033E9" w:rsidP="00D34829">
      <w:r>
        <w:continuationSeparator/>
      </w:r>
    </w:p>
  </w:footnote>
  <w:footnote w:id="1">
    <w:p w:rsidR="00BF3D24" w:rsidRDefault="00BF3D24">
      <w:pPr>
        <w:pStyle w:val="FootnoteText"/>
      </w:pPr>
      <w:r>
        <w:rPr>
          <w:rStyle w:val="FootnoteReference"/>
        </w:rPr>
        <w:footnoteRef/>
      </w:r>
      <w:r>
        <w:t xml:space="preserve"> Utah is managing a small employer Exchange separate from the individual exchange operating through the FFE.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24" w:rsidRDefault="00BF3D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24" w:rsidRDefault="00BF3D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D24" w:rsidRDefault="00BF3D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97E1F"/>
    <w:multiLevelType w:val="hybridMultilevel"/>
    <w:tmpl w:val="516E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A92F14"/>
    <w:multiLevelType w:val="hybridMultilevel"/>
    <w:tmpl w:val="B142E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5E09DF"/>
    <w:multiLevelType w:val="hybridMultilevel"/>
    <w:tmpl w:val="E3643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F6B2D"/>
    <w:multiLevelType w:val="hybridMultilevel"/>
    <w:tmpl w:val="DE04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0434160"/>
    <w:multiLevelType w:val="hybridMultilevel"/>
    <w:tmpl w:val="62642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1150EF"/>
    <w:multiLevelType w:val="hybridMultilevel"/>
    <w:tmpl w:val="6D32A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D34829"/>
    <w:rsid w:val="000033E9"/>
    <w:rsid w:val="000044D6"/>
    <w:rsid w:val="0003129F"/>
    <w:rsid w:val="0006712E"/>
    <w:rsid w:val="000676DC"/>
    <w:rsid w:val="00076228"/>
    <w:rsid w:val="00081671"/>
    <w:rsid w:val="0009333C"/>
    <w:rsid w:val="000A1EB9"/>
    <w:rsid w:val="000B1CAD"/>
    <w:rsid w:val="000B70F6"/>
    <w:rsid w:val="000C3713"/>
    <w:rsid w:val="000C501C"/>
    <w:rsid w:val="000C6CA7"/>
    <w:rsid w:val="000E7C95"/>
    <w:rsid w:val="000F20FA"/>
    <w:rsid w:val="000F320E"/>
    <w:rsid w:val="000F39AF"/>
    <w:rsid w:val="00117180"/>
    <w:rsid w:val="00123476"/>
    <w:rsid w:val="00130261"/>
    <w:rsid w:val="00135BF2"/>
    <w:rsid w:val="001476FD"/>
    <w:rsid w:val="0015583B"/>
    <w:rsid w:val="001573BB"/>
    <w:rsid w:val="0017010A"/>
    <w:rsid w:val="001702C3"/>
    <w:rsid w:val="001913FF"/>
    <w:rsid w:val="001938E1"/>
    <w:rsid w:val="00196B05"/>
    <w:rsid w:val="001B05F5"/>
    <w:rsid w:val="001B752D"/>
    <w:rsid w:val="001E6BE7"/>
    <w:rsid w:val="001F4549"/>
    <w:rsid w:val="00222B1C"/>
    <w:rsid w:val="00224A98"/>
    <w:rsid w:val="0024472F"/>
    <w:rsid w:val="0027114B"/>
    <w:rsid w:val="00276807"/>
    <w:rsid w:val="00282636"/>
    <w:rsid w:val="00285DFF"/>
    <w:rsid w:val="00291322"/>
    <w:rsid w:val="002927CA"/>
    <w:rsid w:val="00297A29"/>
    <w:rsid w:val="002A1891"/>
    <w:rsid w:val="002B24AD"/>
    <w:rsid w:val="002B3772"/>
    <w:rsid w:val="002C25C0"/>
    <w:rsid w:val="002D7D32"/>
    <w:rsid w:val="002E4915"/>
    <w:rsid w:val="002E5F76"/>
    <w:rsid w:val="002F17DD"/>
    <w:rsid w:val="0030088B"/>
    <w:rsid w:val="00311EAF"/>
    <w:rsid w:val="00327FE0"/>
    <w:rsid w:val="0033620B"/>
    <w:rsid w:val="00336FAA"/>
    <w:rsid w:val="00341852"/>
    <w:rsid w:val="0034320E"/>
    <w:rsid w:val="003658B8"/>
    <w:rsid w:val="003667C2"/>
    <w:rsid w:val="00374F3F"/>
    <w:rsid w:val="00392199"/>
    <w:rsid w:val="003A01A7"/>
    <w:rsid w:val="003A0FA1"/>
    <w:rsid w:val="003A13E7"/>
    <w:rsid w:val="003B078B"/>
    <w:rsid w:val="003B584D"/>
    <w:rsid w:val="003B6734"/>
    <w:rsid w:val="003B75A7"/>
    <w:rsid w:val="003F3453"/>
    <w:rsid w:val="00424884"/>
    <w:rsid w:val="00426173"/>
    <w:rsid w:val="0042646A"/>
    <w:rsid w:val="00435FC6"/>
    <w:rsid w:val="0044717A"/>
    <w:rsid w:val="00463249"/>
    <w:rsid w:val="00475A14"/>
    <w:rsid w:val="00480D5D"/>
    <w:rsid w:val="004824B3"/>
    <w:rsid w:val="00493AD4"/>
    <w:rsid w:val="00496CDD"/>
    <w:rsid w:val="004B0592"/>
    <w:rsid w:val="004C731E"/>
    <w:rsid w:val="004D41CE"/>
    <w:rsid w:val="004D6401"/>
    <w:rsid w:val="004E00B9"/>
    <w:rsid w:val="004E3832"/>
    <w:rsid w:val="00501422"/>
    <w:rsid w:val="0050493E"/>
    <w:rsid w:val="0051195E"/>
    <w:rsid w:val="0052171C"/>
    <w:rsid w:val="00531B99"/>
    <w:rsid w:val="0053761E"/>
    <w:rsid w:val="00541DC9"/>
    <w:rsid w:val="00544558"/>
    <w:rsid w:val="00563731"/>
    <w:rsid w:val="00591089"/>
    <w:rsid w:val="005911AD"/>
    <w:rsid w:val="005B1E03"/>
    <w:rsid w:val="005B436A"/>
    <w:rsid w:val="005B544C"/>
    <w:rsid w:val="005C04FE"/>
    <w:rsid w:val="005C5EE8"/>
    <w:rsid w:val="005D5BE6"/>
    <w:rsid w:val="005E1ED8"/>
    <w:rsid w:val="005E3FFB"/>
    <w:rsid w:val="005F7615"/>
    <w:rsid w:val="00610FB2"/>
    <w:rsid w:val="00620B82"/>
    <w:rsid w:val="00637656"/>
    <w:rsid w:val="00637CFD"/>
    <w:rsid w:val="006416B7"/>
    <w:rsid w:val="006430FD"/>
    <w:rsid w:val="00656FC7"/>
    <w:rsid w:val="00657B09"/>
    <w:rsid w:val="00663B2F"/>
    <w:rsid w:val="00690B03"/>
    <w:rsid w:val="006A3C34"/>
    <w:rsid w:val="006B0200"/>
    <w:rsid w:val="006B03B7"/>
    <w:rsid w:val="006B7CC4"/>
    <w:rsid w:val="006C02AB"/>
    <w:rsid w:val="006C2857"/>
    <w:rsid w:val="006C5D01"/>
    <w:rsid w:val="006D0766"/>
    <w:rsid w:val="006D2D22"/>
    <w:rsid w:val="006E3041"/>
    <w:rsid w:val="006E3CA4"/>
    <w:rsid w:val="006F56F9"/>
    <w:rsid w:val="00720A57"/>
    <w:rsid w:val="00732445"/>
    <w:rsid w:val="00742FF5"/>
    <w:rsid w:val="007571D5"/>
    <w:rsid w:val="00765BA1"/>
    <w:rsid w:val="0076635A"/>
    <w:rsid w:val="00773ACC"/>
    <w:rsid w:val="00774F14"/>
    <w:rsid w:val="00793638"/>
    <w:rsid w:val="007A0FD0"/>
    <w:rsid w:val="007A3781"/>
    <w:rsid w:val="007A52CD"/>
    <w:rsid w:val="007B1BED"/>
    <w:rsid w:val="007B6277"/>
    <w:rsid w:val="007C3D0D"/>
    <w:rsid w:val="007C5B40"/>
    <w:rsid w:val="007D084B"/>
    <w:rsid w:val="007D5577"/>
    <w:rsid w:val="007E51F9"/>
    <w:rsid w:val="007F19DF"/>
    <w:rsid w:val="00804967"/>
    <w:rsid w:val="00816146"/>
    <w:rsid w:val="00821383"/>
    <w:rsid w:val="00827443"/>
    <w:rsid w:val="00837EC5"/>
    <w:rsid w:val="00841318"/>
    <w:rsid w:val="00846DA5"/>
    <w:rsid w:val="00850530"/>
    <w:rsid w:val="00857B16"/>
    <w:rsid w:val="00860952"/>
    <w:rsid w:val="00875D06"/>
    <w:rsid w:val="0088188C"/>
    <w:rsid w:val="008951B2"/>
    <w:rsid w:val="008B4537"/>
    <w:rsid w:val="008C1AAA"/>
    <w:rsid w:val="008D05E6"/>
    <w:rsid w:val="008D5D7B"/>
    <w:rsid w:val="008D7562"/>
    <w:rsid w:val="008E6D07"/>
    <w:rsid w:val="008F2B44"/>
    <w:rsid w:val="0092729C"/>
    <w:rsid w:val="009305BA"/>
    <w:rsid w:val="009351CB"/>
    <w:rsid w:val="00937D06"/>
    <w:rsid w:val="00943114"/>
    <w:rsid w:val="00944FED"/>
    <w:rsid w:val="00947FFA"/>
    <w:rsid w:val="00955A6E"/>
    <w:rsid w:val="0096777A"/>
    <w:rsid w:val="00972C9E"/>
    <w:rsid w:val="00985823"/>
    <w:rsid w:val="009977BC"/>
    <w:rsid w:val="009A4BFC"/>
    <w:rsid w:val="009B43F6"/>
    <w:rsid w:val="009B4805"/>
    <w:rsid w:val="009C2CB0"/>
    <w:rsid w:val="009D6B82"/>
    <w:rsid w:val="009E01F4"/>
    <w:rsid w:val="009E428D"/>
    <w:rsid w:val="009E7203"/>
    <w:rsid w:val="00A0717F"/>
    <w:rsid w:val="00A133DD"/>
    <w:rsid w:val="00A153AD"/>
    <w:rsid w:val="00A2590C"/>
    <w:rsid w:val="00A31DBA"/>
    <w:rsid w:val="00A33155"/>
    <w:rsid w:val="00A37433"/>
    <w:rsid w:val="00A5213F"/>
    <w:rsid w:val="00A53075"/>
    <w:rsid w:val="00A55E7C"/>
    <w:rsid w:val="00A5656A"/>
    <w:rsid w:val="00A57567"/>
    <w:rsid w:val="00A6316C"/>
    <w:rsid w:val="00A732AF"/>
    <w:rsid w:val="00A80D8B"/>
    <w:rsid w:val="00A82280"/>
    <w:rsid w:val="00A913ED"/>
    <w:rsid w:val="00A9617D"/>
    <w:rsid w:val="00AB1E9A"/>
    <w:rsid w:val="00AB2AF3"/>
    <w:rsid w:val="00AC149E"/>
    <w:rsid w:val="00AC376B"/>
    <w:rsid w:val="00AC7A30"/>
    <w:rsid w:val="00AD3AE9"/>
    <w:rsid w:val="00AD5153"/>
    <w:rsid w:val="00AD740B"/>
    <w:rsid w:val="00AE5433"/>
    <w:rsid w:val="00AE58FA"/>
    <w:rsid w:val="00AF1775"/>
    <w:rsid w:val="00AF43C9"/>
    <w:rsid w:val="00B41E3A"/>
    <w:rsid w:val="00B54289"/>
    <w:rsid w:val="00B56621"/>
    <w:rsid w:val="00B57230"/>
    <w:rsid w:val="00B60585"/>
    <w:rsid w:val="00B606A3"/>
    <w:rsid w:val="00B741A5"/>
    <w:rsid w:val="00B85C01"/>
    <w:rsid w:val="00B9662B"/>
    <w:rsid w:val="00BA7397"/>
    <w:rsid w:val="00BB65C5"/>
    <w:rsid w:val="00BD2651"/>
    <w:rsid w:val="00BD695F"/>
    <w:rsid w:val="00BE32F2"/>
    <w:rsid w:val="00BE5F16"/>
    <w:rsid w:val="00BF3D24"/>
    <w:rsid w:val="00BF55BC"/>
    <w:rsid w:val="00C17B51"/>
    <w:rsid w:val="00C249B7"/>
    <w:rsid w:val="00C30305"/>
    <w:rsid w:val="00C31BDA"/>
    <w:rsid w:val="00C371DD"/>
    <w:rsid w:val="00C412ED"/>
    <w:rsid w:val="00C46D13"/>
    <w:rsid w:val="00C50F96"/>
    <w:rsid w:val="00C53686"/>
    <w:rsid w:val="00C553B8"/>
    <w:rsid w:val="00C61A79"/>
    <w:rsid w:val="00C63D99"/>
    <w:rsid w:val="00C66E37"/>
    <w:rsid w:val="00C705F3"/>
    <w:rsid w:val="00C82A67"/>
    <w:rsid w:val="00CA7937"/>
    <w:rsid w:val="00CB1781"/>
    <w:rsid w:val="00CB2D23"/>
    <w:rsid w:val="00CD128A"/>
    <w:rsid w:val="00CD3F30"/>
    <w:rsid w:val="00D0287F"/>
    <w:rsid w:val="00D10D52"/>
    <w:rsid w:val="00D228EE"/>
    <w:rsid w:val="00D338D4"/>
    <w:rsid w:val="00D34829"/>
    <w:rsid w:val="00D361A0"/>
    <w:rsid w:val="00D40D8B"/>
    <w:rsid w:val="00D41E6B"/>
    <w:rsid w:val="00D71B6A"/>
    <w:rsid w:val="00D728E0"/>
    <w:rsid w:val="00D745C4"/>
    <w:rsid w:val="00D808D6"/>
    <w:rsid w:val="00D82F58"/>
    <w:rsid w:val="00D83D44"/>
    <w:rsid w:val="00D91100"/>
    <w:rsid w:val="00D934B1"/>
    <w:rsid w:val="00D95C5B"/>
    <w:rsid w:val="00D96640"/>
    <w:rsid w:val="00DD380A"/>
    <w:rsid w:val="00DD4829"/>
    <w:rsid w:val="00DD5C03"/>
    <w:rsid w:val="00DF57F5"/>
    <w:rsid w:val="00E01427"/>
    <w:rsid w:val="00E0538B"/>
    <w:rsid w:val="00E2149E"/>
    <w:rsid w:val="00E22C05"/>
    <w:rsid w:val="00E23FED"/>
    <w:rsid w:val="00E4725A"/>
    <w:rsid w:val="00E621FB"/>
    <w:rsid w:val="00E633DB"/>
    <w:rsid w:val="00E711A5"/>
    <w:rsid w:val="00E76CCF"/>
    <w:rsid w:val="00E853A1"/>
    <w:rsid w:val="00E86043"/>
    <w:rsid w:val="00EA0D6B"/>
    <w:rsid w:val="00EB790B"/>
    <w:rsid w:val="00EC147C"/>
    <w:rsid w:val="00ED325C"/>
    <w:rsid w:val="00EE064E"/>
    <w:rsid w:val="00EE6FF2"/>
    <w:rsid w:val="00EF6B89"/>
    <w:rsid w:val="00F11EEB"/>
    <w:rsid w:val="00F15AF2"/>
    <w:rsid w:val="00F32F22"/>
    <w:rsid w:val="00F4783F"/>
    <w:rsid w:val="00F570E6"/>
    <w:rsid w:val="00F66286"/>
    <w:rsid w:val="00F84EF9"/>
    <w:rsid w:val="00F912F2"/>
    <w:rsid w:val="00F928FE"/>
    <w:rsid w:val="00F96945"/>
    <w:rsid w:val="00F974E3"/>
    <w:rsid w:val="00FA6643"/>
    <w:rsid w:val="00FB00E7"/>
    <w:rsid w:val="00FC4085"/>
    <w:rsid w:val="00FD05E9"/>
    <w:rsid w:val="00FD0D29"/>
    <w:rsid w:val="00FD24BA"/>
    <w:rsid w:val="00FE03BA"/>
    <w:rsid w:val="00FE3EB6"/>
    <w:rsid w:val="00FE5445"/>
    <w:rsid w:val="00FE5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E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829"/>
    <w:pPr>
      <w:tabs>
        <w:tab w:val="center" w:pos="4680"/>
        <w:tab w:val="right" w:pos="9360"/>
      </w:tabs>
    </w:pPr>
  </w:style>
  <w:style w:type="character" w:customStyle="1" w:styleId="HeaderChar">
    <w:name w:val="Header Char"/>
    <w:basedOn w:val="DefaultParagraphFont"/>
    <w:link w:val="Header"/>
    <w:uiPriority w:val="99"/>
    <w:rsid w:val="00D34829"/>
  </w:style>
  <w:style w:type="paragraph" w:styleId="Footer">
    <w:name w:val="footer"/>
    <w:basedOn w:val="Normal"/>
    <w:link w:val="FooterChar"/>
    <w:uiPriority w:val="99"/>
    <w:unhideWhenUsed/>
    <w:rsid w:val="00D34829"/>
    <w:pPr>
      <w:tabs>
        <w:tab w:val="center" w:pos="4680"/>
        <w:tab w:val="right" w:pos="9360"/>
      </w:tabs>
    </w:pPr>
  </w:style>
  <w:style w:type="character" w:customStyle="1" w:styleId="FooterChar">
    <w:name w:val="Footer Char"/>
    <w:basedOn w:val="DefaultParagraphFont"/>
    <w:link w:val="Footer"/>
    <w:uiPriority w:val="99"/>
    <w:rsid w:val="00D34829"/>
  </w:style>
  <w:style w:type="character" w:styleId="Hyperlink">
    <w:name w:val="Hyperlink"/>
    <w:basedOn w:val="DefaultParagraphFont"/>
    <w:uiPriority w:val="99"/>
    <w:unhideWhenUsed/>
    <w:rsid w:val="00C31BDA"/>
    <w:rPr>
      <w:color w:val="0000FF" w:themeColor="hyperlink"/>
      <w:u w:val="single"/>
    </w:rPr>
  </w:style>
  <w:style w:type="paragraph" w:styleId="FootnoteText">
    <w:name w:val="footnote text"/>
    <w:basedOn w:val="Normal"/>
    <w:link w:val="FootnoteTextChar"/>
    <w:uiPriority w:val="99"/>
    <w:unhideWhenUsed/>
    <w:rsid w:val="00CB1781"/>
    <w:rPr>
      <w:sz w:val="20"/>
      <w:szCs w:val="20"/>
    </w:rPr>
  </w:style>
  <w:style w:type="character" w:customStyle="1" w:styleId="FootnoteTextChar">
    <w:name w:val="Footnote Text Char"/>
    <w:basedOn w:val="DefaultParagraphFont"/>
    <w:link w:val="FootnoteText"/>
    <w:uiPriority w:val="99"/>
    <w:rsid w:val="00CB1781"/>
    <w:rPr>
      <w:sz w:val="20"/>
      <w:szCs w:val="20"/>
    </w:rPr>
  </w:style>
  <w:style w:type="character" w:styleId="FootnoteReference">
    <w:name w:val="footnote reference"/>
    <w:basedOn w:val="DefaultParagraphFont"/>
    <w:uiPriority w:val="99"/>
    <w:unhideWhenUsed/>
    <w:rsid w:val="00CB1781"/>
    <w:rPr>
      <w:vertAlign w:val="superscript"/>
    </w:rPr>
  </w:style>
  <w:style w:type="character" w:styleId="FollowedHyperlink">
    <w:name w:val="FollowedHyperlink"/>
    <w:basedOn w:val="DefaultParagraphFont"/>
    <w:uiPriority w:val="99"/>
    <w:semiHidden/>
    <w:unhideWhenUsed/>
    <w:rsid w:val="00774F14"/>
    <w:rPr>
      <w:color w:val="800080" w:themeColor="followedHyperlink"/>
      <w:u w:val="single"/>
    </w:rPr>
  </w:style>
  <w:style w:type="character" w:styleId="CommentReference">
    <w:name w:val="annotation reference"/>
    <w:basedOn w:val="DefaultParagraphFont"/>
    <w:uiPriority w:val="99"/>
    <w:semiHidden/>
    <w:unhideWhenUsed/>
    <w:rsid w:val="00A53075"/>
    <w:rPr>
      <w:sz w:val="18"/>
      <w:szCs w:val="18"/>
    </w:rPr>
  </w:style>
  <w:style w:type="paragraph" w:styleId="CommentText">
    <w:name w:val="annotation text"/>
    <w:basedOn w:val="Normal"/>
    <w:link w:val="CommentTextChar"/>
    <w:uiPriority w:val="99"/>
    <w:semiHidden/>
    <w:unhideWhenUsed/>
    <w:rsid w:val="00A53075"/>
    <w:rPr>
      <w:szCs w:val="24"/>
    </w:rPr>
  </w:style>
  <w:style w:type="character" w:customStyle="1" w:styleId="CommentTextChar">
    <w:name w:val="Comment Text Char"/>
    <w:basedOn w:val="DefaultParagraphFont"/>
    <w:link w:val="CommentText"/>
    <w:uiPriority w:val="99"/>
    <w:semiHidden/>
    <w:rsid w:val="00A53075"/>
    <w:rPr>
      <w:szCs w:val="24"/>
    </w:rPr>
  </w:style>
  <w:style w:type="paragraph" w:styleId="CommentSubject">
    <w:name w:val="annotation subject"/>
    <w:basedOn w:val="CommentText"/>
    <w:next w:val="CommentText"/>
    <w:link w:val="CommentSubjectChar"/>
    <w:uiPriority w:val="99"/>
    <w:semiHidden/>
    <w:unhideWhenUsed/>
    <w:rsid w:val="00A53075"/>
    <w:rPr>
      <w:b/>
      <w:bCs/>
      <w:sz w:val="20"/>
      <w:szCs w:val="20"/>
    </w:rPr>
  </w:style>
  <w:style w:type="character" w:customStyle="1" w:styleId="CommentSubjectChar">
    <w:name w:val="Comment Subject Char"/>
    <w:basedOn w:val="CommentTextChar"/>
    <w:link w:val="CommentSubject"/>
    <w:uiPriority w:val="99"/>
    <w:semiHidden/>
    <w:rsid w:val="00A53075"/>
    <w:rPr>
      <w:b/>
      <w:bCs/>
      <w:sz w:val="20"/>
      <w:szCs w:val="20"/>
    </w:rPr>
  </w:style>
  <w:style w:type="paragraph" w:styleId="BalloonText">
    <w:name w:val="Balloon Text"/>
    <w:basedOn w:val="Normal"/>
    <w:link w:val="BalloonTextChar"/>
    <w:uiPriority w:val="99"/>
    <w:semiHidden/>
    <w:unhideWhenUsed/>
    <w:rsid w:val="00A530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3075"/>
    <w:rPr>
      <w:rFonts w:ascii="Lucida Grande" w:hAnsi="Lucida Grande" w:cs="Lucida Grande"/>
      <w:sz w:val="18"/>
      <w:szCs w:val="18"/>
    </w:rPr>
  </w:style>
  <w:style w:type="character" w:customStyle="1" w:styleId="j2">
    <w:name w:val="j2"/>
    <w:basedOn w:val="DefaultParagraphFont"/>
    <w:rsid w:val="00FC4085"/>
  </w:style>
  <w:style w:type="character" w:styleId="Strong">
    <w:name w:val="Strong"/>
    <w:basedOn w:val="DefaultParagraphFont"/>
    <w:uiPriority w:val="22"/>
    <w:qFormat/>
    <w:rsid w:val="00FC4085"/>
    <w:rPr>
      <w:b/>
      <w:bCs/>
    </w:rPr>
  </w:style>
  <w:style w:type="paragraph" w:styleId="ListParagraph">
    <w:name w:val="List Paragraph"/>
    <w:basedOn w:val="Normal"/>
    <w:uiPriority w:val="34"/>
    <w:qFormat/>
    <w:rsid w:val="00F4783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E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829"/>
    <w:pPr>
      <w:tabs>
        <w:tab w:val="center" w:pos="4680"/>
        <w:tab w:val="right" w:pos="9360"/>
      </w:tabs>
    </w:pPr>
  </w:style>
  <w:style w:type="character" w:customStyle="1" w:styleId="HeaderChar">
    <w:name w:val="Header Char"/>
    <w:basedOn w:val="DefaultParagraphFont"/>
    <w:link w:val="Header"/>
    <w:uiPriority w:val="99"/>
    <w:rsid w:val="00D34829"/>
  </w:style>
  <w:style w:type="paragraph" w:styleId="Footer">
    <w:name w:val="footer"/>
    <w:basedOn w:val="Normal"/>
    <w:link w:val="FooterChar"/>
    <w:uiPriority w:val="99"/>
    <w:unhideWhenUsed/>
    <w:rsid w:val="00D34829"/>
    <w:pPr>
      <w:tabs>
        <w:tab w:val="center" w:pos="4680"/>
        <w:tab w:val="right" w:pos="9360"/>
      </w:tabs>
    </w:pPr>
  </w:style>
  <w:style w:type="character" w:customStyle="1" w:styleId="FooterChar">
    <w:name w:val="Footer Char"/>
    <w:basedOn w:val="DefaultParagraphFont"/>
    <w:link w:val="Footer"/>
    <w:uiPriority w:val="99"/>
    <w:rsid w:val="00D34829"/>
  </w:style>
  <w:style w:type="character" w:styleId="Hyperlink">
    <w:name w:val="Hyperlink"/>
    <w:basedOn w:val="DefaultParagraphFont"/>
    <w:uiPriority w:val="99"/>
    <w:unhideWhenUsed/>
    <w:rsid w:val="00C31BDA"/>
    <w:rPr>
      <w:color w:val="0000FF" w:themeColor="hyperlink"/>
      <w:u w:val="single"/>
    </w:rPr>
  </w:style>
  <w:style w:type="paragraph" w:styleId="FootnoteText">
    <w:name w:val="footnote text"/>
    <w:basedOn w:val="Normal"/>
    <w:link w:val="FootnoteTextChar"/>
    <w:uiPriority w:val="99"/>
    <w:unhideWhenUsed/>
    <w:rsid w:val="00CB1781"/>
    <w:rPr>
      <w:sz w:val="20"/>
      <w:szCs w:val="20"/>
    </w:rPr>
  </w:style>
  <w:style w:type="character" w:customStyle="1" w:styleId="FootnoteTextChar">
    <w:name w:val="Footnote Text Char"/>
    <w:basedOn w:val="DefaultParagraphFont"/>
    <w:link w:val="FootnoteText"/>
    <w:uiPriority w:val="99"/>
    <w:rsid w:val="00CB1781"/>
    <w:rPr>
      <w:sz w:val="20"/>
      <w:szCs w:val="20"/>
    </w:rPr>
  </w:style>
  <w:style w:type="character" w:styleId="FootnoteReference">
    <w:name w:val="footnote reference"/>
    <w:basedOn w:val="DefaultParagraphFont"/>
    <w:uiPriority w:val="99"/>
    <w:unhideWhenUsed/>
    <w:rsid w:val="00CB1781"/>
    <w:rPr>
      <w:vertAlign w:val="superscript"/>
    </w:rPr>
  </w:style>
  <w:style w:type="character" w:styleId="FollowedHyperlink">
    <w:name w:val="FollowedHyperlink"/>
    <w:basedOn w:val="DefaultParagraphFont"/>
    <w:uiPriority w:val="99"/>
    <w:semiHidden/>
    <w:unhideWhenUsed/>
    <w:rsid w:val="00774F14"/>
    <w:rPr>
      <w:color w:val="800080" w:themeColor="followedHyperlink"/>
      <w:u w:val="single"/>
    </w:rPr>
  </w:style>
  <w:style w:type="character" w:styleId="CommentReference">
    <w:name w:val="annotation reference"/>
    <w:basedOn w:val="DefaultParagraphFont"/>
    <w:uiPriority w:val="99"/>
    <w:semiHidden/>
    <w:unhideWhenUsed/>
    <w:rsid w:val="00A53075"/>
    <w:rPr>
      <w:sz w:val="18"/>
      <w:szCs w:val="18"/>
    </w:rPr>
  </w:style>
  <w:style w:type="paragraph" w:styleId="CommentText">
    <w:name w:val="annotation text"/>
    <w:basedOn w:val="Normal"/>
    <w:link w:val="CommentTextChar"/>
    <w:uiPriority w:val="99"/>
    <w:semiHidden/>
    <w:unhideWhenUsed/>
    <w:rsid w:val="00A53075"/>
    <w:rPr>
      <w:szCs w:val="24"/>
    </w:rPr>
  </w:style>
  <w:style w:type="character" w:customStyle="1" w:styleId="CommentTextChar">
    <w:name w:val="Comment Text Char"/>
    <w:basedOn w:val="DefaultParagraphFont"/>
    <w:link w:val="CommentText"/>
    <w:uiPriority w:val="99"/>
    <w:semiHidden/>
    <w:rsid w:val="00A53075"/>
    <w:rPr>
      <w:szCs w:val="24"/>
    </w:rPr>
  </w:style>
  <w:style w:type="paragraph" w:styleId="CommentSubject">
    <w:name w:val="annotation subject"/>
    <w:basedOn w:val="CommentText"/>
    <w:next w:val="CommentText"/>
    <w:link w:val="CommentSubjectChar"/>
    <w:uiPriority w:val="99"/>
    <w:semiHidden/>
    <w:unhideWhenUsed/>
    <w:rsid w:val="00A53075"/>
    <w:rPr>
      <w:b/>
      <w:bCs/>
      <w:sz w:val="20"/>
      <w:szCs w:val="20"/>
    </w:rPr>
  </w:style>
  <w:style w:type="character" w:customStyle="1" w:styleId="CommentSubjectChar">
    <w:name w:val="Comment Subject Char"/>
    <w:basedOn w:val="CommentTextChar"/>
    <w:link w:val="CommentSubject"/>
    <w:uiPriority w:val="99"/>
    <w:semiHidden/>
    <w:rsid w:val="00A53075"/>
    <w:rPr>
      <w:b/>
      <w:bCs/>
      <w:sz w:val="20"/>
      <w:szCs w:val="20"/>
    </w:rPr>
  </w:style>
  <w:style w:type="paragraph" w:styleId="BalloonText">
    <w:name w:val="Balloon Text"/>
    <w:basedOn w:val="Normal"/>
    <w:link w:val="BalloonTextChar"/>
    <w:uiPriority w:val="99"/>
    <w:semiHidden/>
    <w:unhideWhenUsed/>
    <w:rsid w:val="00A530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307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29828852">
      <w:bodyDiv w:val="1"/>
      <w:marLeft w:val="0"/>
      <w:marRight w:val="0"/>
      <w:marTop w:val="0"/>
      <w:marBottom w:val="0"/>
      <w:divBdr>
        <w:top w:val="none" w:sz="0" w:space="0" w:color="auto"/>
        <w:left w:val="none" w:sz="0" w:space="0" w:color="auto"/>
        <w:bottom w:val="none" w:sz="0" w:space="0" w:color="auto"/>
        <w:right w:val="none" w:sz="0" w:space="0" w:color="auto"/>
      </w:divBdr>
    </w:div>
    <w:div w:id="198319846">
      <w:bodyDiv w:val="1"/>
      <w:marLeft w:val="0"/>
      <w:marRight w:val="0"/>
      <w:marTop w:val="0"/>
      <w:marBottom w:val="0"/>
      <w:divBdr>
        <w:top w:val="none" w:sz="0" w:space="0" w:color="auto"/>
        <w:left w:val="none" w:sz="0" w:space="0" w:color="auto"/>
        <w:bottom w:val="none" w:sz="0" w:space="0" w:color="auto"/>
        <w:right w:val="none" w:sz="0" w:space="0" w:color="auto"/>
      </w:divBdr>
      <w:divsChild>
        <w:div w:id="1737900154">
          <w:marLeft w:val="0"/>
          <w:marRight w:val="0"/>
          <w:marTop w:val="0"/>
          <w:marBottom w:val="0"/>
          <w:divBdr>
            <w:top w:val="none" w:sz="0" w:space="0" w:color="auto"/>
            <w:left w:val="none" w:sz="0" w:space="0" w:color="auto"/>
            <w:bottom w:val="none" w:sz="0" w:space="0" w:color="auto"/>
            <w:right w:val="none" w:sz="0" w:space="0" w:color="auto"/>
          </w:divBdr>
        </w:div>
        <w:div w:id="804542676">
          <w:marLeft w:val="0"/>
          <w:marRight w:val="0"/>
          <w:marTop w:val="0"/>
          <w:marBottom w:val="0"/>
          <w:divBdr>
            <w:top w:val="none" w:sz="0" w:space="0" w:color="auto"/>
            <w:left w:val="none" w:sz="0" w:space="0" w:color="auto"/>
            <w:bottom w:val="none" w:sz="0" w:space="0" w:color="auto"/>
            <w:right w:val="none" w:sz="0" w:space="0" w:color="auto"/>
          </w:divBdr>
        </w:div>
        <w:div w:id="1883519652">
          <w:marLeft w:val="0"/>
          <w:marRight w:val="0"/>
          <w:marTop w:val="0"/>
          <w:marBottom w:val="0"/>
          <w:divBdr>
            <w:top w:val="none" w:sz="0" w:space="0" w:color="auto"/>
            <w:left w:val="none" w:sz="0" w:space="0" w:color="auto"/>
            <w:bottom w:val="none" w:sz="0" w:space="0" w:color="auto"/>
            <w:right w:val="none" w:sz="0" w:space="0" w:color="auto"/>
          </w:divBdr>
        </w:div>
        <w:div w:id="838157425">
          <w:marLeft w:val="0"/>
          <w:marRight w:val="0"/>
          <w:marTop w:val="0"/>
          <w:marBottom w:val="0"/>
          <w:divBdr>
            <w:top w:val="none" w:sz="0" w:space="0" w:color="auto"/>
            <w:left w:val="none" w:sz="0" w:space="0" w:color="auto"/>
            <w:bottom w:val="none" w:sz="0" w:space="0" w:color="auto"/>
            <w:right w:val="none" w:sz="0" w:space="0" w:color="auto"/>
          </w:divBdr>
        </w:div>
        <w:div w:id="893352058">
          <w:marLeft w:val="0"/>
          <w:marRight w:val="0"/>
          <w:marTop w:val="0"/>
          <w:marBottom w:val="0"/>
          <w:divBdr>
            <w:top w:val="none" w:sz="0" w:space="0" w:color="auto"/>
            <w:left w:val="none" w:sz="0" w:space="0" w:color="auto"/>
            <w:bottom w:val="none" w:sz="0" w:space="0" w:color="auto"/>
            <w:right w:val="none" w:sz="0" w:space="0" w:color="auto"/>
          </w:divBdr>
        </w:div>
        <w:div w:id="73822355">
          <w:marLeft w:val="0"/>
          <w:marRight w:val="0"/>
          <w:marTop w:val="0"/>
          <w:marBottom w:val="0"/>
          <w:divBdr>
            <w:top w:val="none" w:sz="0" w:space="0" w:color="auto"/>
            <w:left w:val="none" w:sz="0" w:space="0" w:color="auto"/>
            <w:bottom w:val="none" w:sz="0" w:space="0" w:color="auto"/>
            <w:right w:val="none" w:sz="0" w:space="0" w:color="auto"/>
          </w:divBdr>
        </w:div>
        <w:div w:id="1535851197">
          <w:marLeft w:val="0"/>
          <w:marRight w:val="0"/>
          <w:marTop w:val="0"/>
          <w:marBottom w:val="0"/>
          <w:divBdr>
            <w:top w:val="none" w:sz="0" w:space="0" w:color="auto"/>
            <w:left w:val="none" w:sz="0" w:space="0" w:color="auto"/>
            <w:bottom w:val="none" w:sz="0" w:space="0" w:color="auto"/>
            <w:right w:val="none" w:sz="0" w:space="0" w:color="auto"/>
          </w:divBdr>
        </w:div>
        <w:div w:id="84739468">
          <w:marLeft w:val="0"/>
          <w:marRight w:val="0"/>
          <w:marTop w:val="0"/>
          <w:marBottom w:val="0"/>
          <w:divBdr>
            <w:top w:val="none" w:sz="0" w:space="0" w:color="auto"/>
            <w:left w:val="none" w:sz="0" w:space="0" w:color="auto"/>
            <w:bottom w:val="none" w:sz="0" w:space="0" w:color="auto"/>
            <w:right w:val="none" w:sz="0" w:space="0" w:color="auto"/>
          </w:divBdr>
        </w:div>
        <w:div w:id="1441953161">
          <w:marLeft w:val="0"/>
          <w:marRight w:val="0"/>
          <w:marTop w:val="0"/>
          <w:marBottom w:val="0"/>
          <w:divBdr>
            <w:top w:val="none" w:sz="0" w:space="0" w:color="auto"/>
            <w:left w:val="none" w:sz="0" w:space="0" w:color="auto"/>
            <w:bottom w:val="none" w:sz="0" w:space="0" w:color="auto"/>
            <w:right w:val="none" w:sz="0" w:space="0" w:color="auto"/>
          </w:divBdr>
        </w:div>
        <w:div w:id="649410097">
          <w:marLeft w:val="0"/>
          <w:marRight w:val="0"/>
          <w:marTop w:val="0"/>
          <w:marBottom w:val="0"/>
          <w:divBdr>
            <w:top w:val="none" w:sz="0" w:space="0" w:color="auto"/>
            <w:left w:val="none" w:sz="0" w:space="0" w:color="auto"/>
            <w:bottom w:val="none" w:sz="0" w:space="0" w:color="auto"/>
            <w:right w:val="none" w:sz="0" w:space="0" w:color="auto"/>
          </w:divBdr>
        </w:div>
        <w:div w:id="80640507">
          <w:marLeft w:val="0"/>
          <w:marRight w:val="0"/>
          <w:marTop w:val="0"/>
          <w:marBottom w:val="0"/>
          <w:divBdr>
            <w:top w:val="none" w:sz="0" w:space="0" w:color="auto"/>
            <w:left w:val="none" w:sz="0" w:space="0" w:color="auto"/>
            <w:bottom w:val="none" w:sz="0" w:space="0" w:color="auto"/>
            <w:right w:val="none" w:sz="0" w:space="0" w:color="auto"/>
          </w:divBdr>
        </w:div>
        <w:div w:id="863980722">
          <w:marLeft w:val="0"/>
          <w:marRight w:val="0"/>
          <w:marTop w:val="0"/>
          <w:marBottom w:val="0"/>
          <w:divBdr>
            <w:top w:val="none" w:sz="0" w:space="0" w:color="auto"/>
            <w:left w:val="none" w:sz="0" w:space="0" w:color="auto"/>
            <w:bottom w:val="none" w:sz="0" w:space="0" w:color="auto"/>
            <w:right w:val="none" w:sz="0" w:space="0" w:color="auto"/>
          </w:divBdr>
        </w:div>
        <w:div w:id="1778980941">
          <w:marLeft w:val="0"/>
          <w:marRight w:val="0"/>
          <w:marTop w:val="0"/>
          <w:marBottom w:val="0"/>
          <w:divBdr>
            <w:top w:val="none" w:sz="0" w:space="0" w:color="auto"/>
            <w:left w:val="none" w:sz="0" w:space="0" w:color="auto"/>
            <w:bottom w:val="none" w:sz="0" w:space="0" w:color="auto"/>
            <w:right w:val="none" w:sz="0" w:space="0" w:color="auto"/>
          </w:divBdr>
        </w:div>
        <w:div w:id="1591961077">
          <w:marLeft w:val="0"/>
          <w:marRight w:val="0"/>
          <w:marTop w:val="0"/>
          <w:marBottom w:val="0"/>
          <w:divBdr>
            <w:top w:val="none" w:sz="0" w:space="0" w:color="auto"/>
            <w:left w:val="none" w:sz="0" w:space="0" w:color="auto"/>
            <w:bottom w:val="none" w:sz="0" w:space="0" w:color="auto"/>
            <w:right w:val="none" w:sz="0" w:space="0" w:color="auto"/>
          </w:divBdr>
        </w:div>
      </w:divsChild>
    </w:div>
    <w:div w:id="268589555">
      <w:bodyDiv w:val="1"/>
      <w:marLeft w:val="0"/>
      <w:marRight w:val="0"/>
      <w:marTop w:val="0"/>
      <w:marBottom w:val="0"/>
      <w:divBdr>
        <w:top w:val="none" w:sz="0" w:space="0" w:color="auto"/>
        <w:left w:val="none" w:sz="0" w:space="0" w:color="auto"/>
        <w:bottom w:val="none" w:sz="0" w:space="0" w:color="auto"/>
        <w:right w:val="none" w:sz="0" w:space="0" w:color="auto"/>
      </w:divBdr>
    </w:div>
    <w:div w:id="271789678">
      <w:bodyDiv w:val="1"/>
      <w:marLeft w:val="0"/>
      <w:marRight w:val="0"/>
      <w:marTop w:val="0"/>
      <w:marBottom w:val="0"/>
      <w:divBdr>
        <w:top w:val="none" w:sz="0" w:space="0" w:color="auto"/>
        <w:left w:val="none" w:sz="0" w:space="0" w:color="auto"/>
        <w:bottom w:val="none" w:sz="0" w:space="0" w:color="auto"/>
        <w:right w:val="none" w:sz="0" w:space="0" w:color="auto"/>
      </w:divBdr>
    </w:div>
    <w:div w:id="311763000">
      <w:bodyDiv w:val="1"/>
      <w:marLeft w:val="0"/>
      <w:marRight w:val="0"/>
      <w:marTop w:val="0"/>
      <w:marBottom w:val="0"/>
      <w:divBdr>
        <w:top w:val="none" w:sz="0" w:space="0" w:color="auto"/>
        <w:left w:val="none" w:sz="0" w:space="0" w:color="auto"/>
        <w:bottom w:val="none" w:sz="0" w:space="0" w:color="auto"/>
        <w:right w:val="none" w:sz="0" w:space="0" w:color="auto"/>
      </w:divBdr>
    </w:div>
    <w:div w:id="507334893">
      <w:bodyDiv w:val="1"/>
      <w:marLeft w:val="0"/>
      <w:marRight w:val="0"/>
      <w:marTop w:val="0"/>
      <w:marBottom w:val="0"/>
      <w:divBdr>
        <w:top w:val="none" w:sz="0" w:space="0" w:color="auto"/>
        <w:left w:val="none" w:sz="0" w:space="0" w:color="auto"/>
        <w:bottom w:val="none" w:sz="0" w:space="0" w:color="auto"/>
        <w:right w:val="none" w:sz="0" w:space="0" w:color="auto"/>
      </w:divBdr>
    </w:div>
    <w:div w:id="627275017">
      <w:bodyDiv w:val="1"/>
      <w:marLeft w:val="0"/>
      <w:marRight w:val="0"/>
      <w:marTop w:val="0"/>
      <w:marBottom w:val="0"/>
      <w:divBdr>
        <w:top w:val="none" w:sz="0" w:space="0" w:color="auto"/>
        <w:left w:val="none" w:sz="0" w:space="0" w:color="auto"/>
        <w:bottom w:val="none" w:sz="0" w:space="0" w:color="auto"/>
        <w:right w:val="none" w:sz="0" w:space="0" w:color="auto"/>
      </w:divBdr>
    </w:div>
    <w:div w:id="723060580">
      <w:bodyDiv w:val="1"/>
      <w:marLeft w:val="0"/>
      <w:marRight w:val="0"/>
      <w:marTop w:val="0"/>
      <w:marBottom w:val="0"/>
      <w:divBdr>
        <w:top w:val="none" w:sz="0" w:space="0" w:color="auto"/>
        <w:left w:val="none" w:sz="0" w:space="0" w:color="auto"/>
        <w:bottom w:val="none" w:sz="0" w:space="0" w:color="auto"/>
        <w:right w:val="none" w:sz="0" w:space="0" w:color="auto"/>
      </w:divBdr>
    </w:div>
    <w:div w:id="1253129414">
      <w:bodyDiv w:val="1"/>
      <w:marLeft w:val="0"/>
      <w:marRight w:val="0"/>
      <w:marTop w:val="0"/>
      <w:marBottom w:val="0"/>
      <w:divBdr>
        <w:top w:val="none" w:sz="0" w:space="0" w:color="auto"/>
        <w:left w:val="none" w:sz="0" w:space="0" w:color="auto"/>
        <w:bottom w:val="none" w:sz="0" w:space="0" w:color="auto"/>
        <w:right w:val="none" w:sz="0" w:space="0" w:color="auto"/>
      </w:divBdr>
    </w:div>
    <w:div w:id="1281378942">
      <w:bodyDiv w:val="1"/>
      <w:marLeft w:val="0"/>
      <w:marRight w:val="0"/>
      <w:marTop w:val="0"/>
      <w:marBottom w:val="0"/>
      <w:divBdr>
        <w:top w:val="none" w:sz="0" w:space="0" w:color="auto"/>
        <w:left w:val="none" w:sz="0" w:space="0" w:color="auto"/>
        <w:bottom w:val="none" w:sz="0" w:space="0" w:color="auto"/>
        <w:right w:val="none" w:sz="0" w:space="0" w:color="auto"/>
      </w:divBdr>
    </w:div>
    <w:div w:id="1823505615">
      <w:bodyDiv w:val="1"/>
      <w:marLeft w:val="0"/>
      <w:marRight w:val="0"/>
      <w:marTop w:val="0"/>
      <w:marBottom w:val="0"/>
      <w:divBdr>
        <w:top w:val="none" w:sz="0" w:space="0" w:color="auto"/>
        <w:left w:val="none" w:sz="0" w:space="0" w:color="auto"/>
        <w:bottom w:val="none" w:sz="0" w:space="0" w:color="auto"/>
        <w:right w:val="none" w:sz="0" w:space="0" w:color="auto"/>
      </w:divBdr>
    </w:div>
    <w:div w:id="1887988622">
      <w:bodyDiv w:val="1"/>
      <w:marLeft w:val="0"/>
      <w:marRight w:val="0"/>
      <w:marTop w:val="0"/>
      <w:marBottom w:val="0"/>
      <w:divBdr>
        <w:top w:val="none" w:sz="0" w:space="0" w:color="auto"/>
        <w:left w:val="none" w:sz="0" w:space="0" w:color="auto"/>
        <w:bottom w:val="none" w:sz="0" w:space="0" w:color="auto"/>
        <w:right w:val="none" w:sz="0" w:space="0" w:color="auto"/>
      </w:divBdr>
    </w:div>
    <w:div w:id="1888563606">
      <w:bodyDiv w:val="1"/>
      <w:marLeft w:val="0"/>
      <w:marRight w:val="0"/>
      <w:marTop w:val="0"/>
      <w:marBottom w:val="0"/>
      <w:divBdr>
        <w:top w:val="none" w:sz="0" w:space="0" w:color="auto"/>
        <w:left w:val="none" w:sz="0" w:space="0" w:color="auto"/>
        <w:bottom w:val="none" w:sz="0" w:space="0" w:color="auto"/>
        <w:right w:val="none" w:sz="0" w:space="0" w:color="auto"/>
      </w:divBdr>
    </w:div>
    <w:div w:id="203183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kff.org/health-reform/state-indicator/state-activity-around-expanding-medicaid-under-the-affordable-care-ac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mailto:Theresa.Morgan@ppsv.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hs.gov/healthcare/rights/index.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ff.org/health-reform/slide/state-decisions-for-creating-health-insurance-exchang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ms.gov/CCIIO/Resources/Fact-Sheets-and-FAQs/"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7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healthcare.gov" TargetMode="External"/><Relationship Id="rId14" Type="http://schemas.openxmlformats.org/officeDocument/2006/relationships/hyperlink" Target="https://www.healthcare.gov/get-covered-a-1-page-guide-to-the-health-insurance-marketplace/"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C1827-F302-4358-AA84-6E3125DA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2372</Words>
  <Characters>13071</Characters>
  <Application>Microsoft Office Word</Application>
  <DocSecurity>0</DocSecurity>
  <PresentationFormat/>
  <Lines>246</Lines>
  <Paragraphs>78</Paragraphs>
  <ScaleCrop>false</ScaleCrop>
  <HeadingPairs>
    <vt:vector size="2" baseType="variant">
      <vt:variant>
        <vt:lpstr>Title</vt:lpstr>
      </vt:variant>
      <vt:variant>
        <vt:i4>1</vt:i4>
      </vt:variant>
    </vt:vector>
  </HeadingPairs>
  <TitlesOfParts>
    <vt:vector size="1" baseType="lpstr">
      <vt:lpstr>ACA Implementation Update (D0498894).DOCX</vt:lpstr>
    </vt:vector>
  </TitlesOfParts>
  <LinksUpToDate>false</LinksUpToDate>
  <CharactersWithSpaces>15365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Implementation Update (D0498894).DOCX</dc:title>
  <dc:subject>wdNOSTAMP</dc:subject>
  <dc:creator/>
  <cp:lastModifiedBy/>
  <cp:revision>1</cp:revision>
  <dcterms:created xsi:type="dcterms:W3CDTF">2013-10-01T23:07:00Z</dcterms:created>
  <dcterms:modified xsi:type="dcterms:W3CDTF">2013-10-01T23:40:00Z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gFAAsdpvfP9KDXKHdy+yaqrfWi89n0Olxqnyn+5c4Y3hqC2bFWEGkgA1dQcIVPlbj6kpkAZJOpemzReV
cZ+iqlgMbWRoqOQ9290uNVlLGjwaqECuHzx66RnV+kemLN5hu/T/u+wAOxd7d2SVcZ+iqlgMbWRo
qOQ9290uNVlLGjwaqECuHzx66RnV+tbjTLq2UMPbyXqqZZfGIYxLeQSD0dlKGm/pBj9VW8h8Rz4h
dq+PVLVM9FnRKu508</vt:lpwstr>
  </property>
  <property fmtid="{D5CDD505-2E9C-101B-9397-08002B2CF9AE}" pid="3" name="MAIL_MSG_ID2">
    <vt:lpwstr>Ozlf8XOtRSJp5u2soOS/xZ3jdOvVaDeR2eSjxd5L8nD0ePDJs6X/37EOVpg
qRj3ZAps5g2fPJ0xOKR2KMqQqX1DVAjfYpKoxQ==</vt:lpwstr>
  </property>
  <property fmtid="{D5CDD505-2E9C-101B-9397-08002B2CF9AE}" pid="4" name="RESPONSE_SENDER_NAME">
    <vt:lpwstr>sAAAE9kkUq3pEoKc7KZ8Zcspj13UuP2Cycd5GxESdShlha0=</vt:lpwstr>
  </property>
  <property fmtid="{D5CDD505-2E9C-101B-9397-08002B2CF9AE}" pid="5" name="EMAIL_OWNER_ADDRESS">
    <vt:lpwstr>4AAAyjQjm0EOGgI/WdHDh9pqMwSu0N7WjqikL/mGDsFxPcaHQWAJwWcu3Q==</vt:lpwstr>
  </property>
  <property fmtid="{D5CDD505-2E9C-101B-9397-08002B2CF9AE}" pid="6" name="WS_TRACKING_ID">
    <vt:lpwstr>e23cd304-0f6c-457f-acba-7addde5ab2be</vt:lpwstr>
  </property>
</Properties>
</file>